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rFonts w:ascii="HelveticaNeueLT Std" w:hAnsi="HelveticaNeueLT Std"/>
          <w:b/>
          <w:b/>
          <w:color w:val="92D050"/>
          <w:sz w:val="36"/>
          <w:szCs w:val="36"/>
          <w:u w:val="single"/>
        </w:rPr>
      </w:pPr>
      <w:r>
        <w:rPr>
          <w:rFonts w:ascii="HelveticaNeueLT Std" w:hAnsi="HelveticaNeueLT Std"/>
          <w:b/>
          <w:color w:val="92D050"/>
          <w:sz w:val="36"/>
          <w:szCs w:val="36"/>
          <w:u w:val="single"/>
        </w:rPr>
        <w:t xml:space="preserve"> </w:t>
      </w:r>
      <w:r>
        <w:rPr>
          <w:rFonts w:ascii="HelveticaNeueLT Std" w:hAnsi="HelveticaNeueLT Std"/>
          <w:b/>
          <w:color w:val="92D050"/>
          <w:sz w:val="36"/>
          <w:szCs w:val="36"/>
          <w:u w:val="single"/>
        </w:rPr>
        <w:t>RELATORI TAVOLA ROTONDA “AN DE LA FAM”</w:t>
      </w:r>
    </w:p>
    <w:p>
      <w:pPr>
        <w:pStyle w:val="Normal"/>
        <w:jc w:val="both"/>
        <w:rPr>
          <w:rFonts w:ascii="HelveticaNeueLT Std" w:hAnsi="HelveticaNeueLT Std"/>
          <w:sz w:val="24"/>
          <w:szCs w:val="24"/>
        </w:rPr>
      </w:pPr>
      <w:r>
        <w:rPr>
          <w:rFonts w:ascii="HelveticaNeueLT Std" w:hAnsi="HelveticaNeueLT Std"/>
          <w:sz w:val="24"/>
          <w:szCs w:val="24"/>
        </w:rPr>
      </w:r>
    </w:p>
    <w:p>
      <w:pPr>
        <w:pStyle w:val="Normal"/>
        <w:jc w:val="both"/>
        <w:rPr>
          <w:rFonts w:ascii="HelveticaNeueLT Std" w:hAnsi="HelveticaNeueLT Std"/>
          <w:b/>
          <w:b/>
          <w:bCs/>
          <w:color w:val="92D050"/>
          <w:sz w:val="24"/>
          <w:szCs w:val="24"/>
        </w:rPr>
      </w:pPr>
      <w:r>
        <w:rPr>
          <w:rFonts w:ascii="HelveticaNeueLT Std" w:hAnsi="HelveticaNeueLT Std"/>
          <w:b/>
          <w:bCs/>
          <w:color w:val="92D050"/>
          <w:sz w:val="24"/>
          <w:szCs w:val="24"/>
        </w:rPr>
        <w:t>MARCO AVANZINI &amp; CHRISTIAN CASAROTTO (MUSE – MUSEO DELLE SCIENZE)</w:t>
      </w:r>
    </w:p>
    <w:p>
      <w:pPr>
        <w:pStyle w:val="Normal"/>
        <w:jc w:val="both"/>
        <w:rPr>
          <w:rFonts w:ascii="HelveticaNeueLT Std" w:hAnsi="HelveticaNeueLT Std"/>
          <w:i/>
          <w:i/>
          <w:sz w:val="24"/>
          <w:szCs w:val="24"/>
        </w:rPr>
      </w:pPr>
      <w:bookmarkStart w:id="0" w:name="__DdeLink__523_1950590046"/>
      <w:bookmarkEnd w:id="0"/>
      <w:r>
        <w:rPr>
          <w:rFonts w:ascii="HelveticaNeueLT Std" w:hAnsi="HelveticaNeueLT Std"/>
          <w:i/>
          <w:sz w:val="24"/>
          <w:szCs w:val="24"/>
        </w:rPr>
        <w:t>“</w:t>
      </w:r>
      <w:r>
        <w:rPr>
          <w:rFonts w:ascii="HelveticaNeueLT Std" w:hAnsi="HelveticaNeueLT Std"/>
          <w:i/>
          <w:sz w:val="24"/>
          <w:szCs w:val="24"/>
        </w:rPr>
        <w:t>società europea e cambiamenti climatici”</w:t>
      </w:r>
    </w:p>
    <w:p>
      <w:pPr>
        <w:pStyle w:val="Normal"/>
        <w:jc w:val="both"/>
        <w:rPr>
          <w:rFonts w:ascii="HelveticaNeueLT Std" w:hAnsi="HelveticaNeueLT Std"/>
          <w:sz w:val="24"/>
          <w:szCs w:val="24"/>
        </w:rPr>
      </w:pPr>
      <w:r>
        <w:rPr>
          <w:rFonts w:ascii="HelveticaNeueLT Std" w:hAnsi="HelveticaNeueLT Std"/>
          <w:sz w:val="24"/>
          <w:szCs w:val="24"/>
        </w:rPr>
      </w:r>
    </w:p>
    <w:p>
      <w:pPr>
        <w:pStyle w:val="Normal"/>
        <w:jc w:val="both"/>
        <w:rPr>
          <w:rFonts w:ascii="HelveticaNeueLT Std" w:hAnsi="HelveticaNeueLT Std"/>
          <w:sz w:val="24"/>
          <w:szCs w:val="24"/>
        </w:rPr>
      </w:pPr>
      <w:r>
        <w:rPr>
          <w:rFonts w:ascii="HelveticaNeueLT Std" w:hAnsi="HelveticaNeueLT Std"/>
          <w:sz w:val="24"/>
          <w:szCs w:val="24"/>
        </w:rPr>
        <w:t>Dal XIV al XIX secolo, i cambiamenti climatici hanno creato e forgiato la società europea così come la conosciamo oggi. Si scopre così che le grandi migrazioni dei vichinghi, la caccia alle streghe, la rivoluzione francese e quella agricola, nonché la letteratura e l’arte affondano le radici in precisi contesti climatici senza i quali il nostro presente sarebbe ben diverso. Il periodo citato è conosciuto col nome di Piccola Età Glaciale; un’altalena di periodi caldi e freddi, aridi e umidi, nei quali la marcata diminuzione di temperatura si faceva sentire su un tessuto sociale fragile e quindi soggetto a carestie, pestilenze e guerre. A tutto ciò si aggiunsero drammatici eventi naturali a scala globale come l’eruzione del vulcano Tambora del 1816 che ha enfatizzato il freddo e le crisi alimentari e agricole della prima parte del XIX secolo. Tutto ciò è ben registrato negli archivi naturali e umani delle regioni alpine. Inondazioni e gelate falcidiarono i raccolti, i prezzi delle derrate alimentari salirono come mai prima e i ghiacciai, avanzando, bussarono alle porte dei villaggi di montagna incutendo paure e favorendo un forte credo cristiano nelle popolazioni che non sapevano come arrestarne l’avanzata se non con la preghiera.</w:t>
      </w:r>
    </w:p>
    <w:p>
      <w:pPr>
        <w:pStyle w:val="Normal"/>
        <w:jc w:val="both"/>
        <w:rPr>
          <w:rFonts w:ascii="HelveticaNeueLT Std" w:hAnsi="HelveticaNeueLT Std"/>
          <w:b/>
          <w:b/>
          <w:bCs/>
          <w:sz w:val="24"/>
          <w:szCs w:val="24"/>
        </w:rPr>
      </w:pPr>
      <w:bookmarkStart w:id="1" w:name="__DdeLink__523_1950590046"/>
      <w:bookmarkStart w:id="2" w:name="__DdeLink__523_1950590046"/>
      <w:bookmarkEnd w:id="2"/>
      <w:r>
        <w:rPr>
          <w:rFonts w:ascii="HelveticaNeueLT Std" w:hAnsi="HelveticaNeueLT Std"/>
          <w:b/>
          <w:bCs/>
          <w:sz w:val="24"/>
          <w:szCs w:val="24"/>
        </w:rPr>
      </w:r>
    </w:p>
    <w:p>
      <w:pPr>
        <w:pStyle w:val="Normal"/>
        <w:jc w:val="both"/>
        <w:rPr>
          <w:rFonts w:ascii="HelveticaNeueLT Std" w:hAnsi="HelveticaNeueLT Std"/>
          <w:sz w:val="24"/>
          <w:szCs w:val="24"/>
        </w:rPr>
      </w:pPr>
      <w:r>
        <w:rPr>
          <w:rFonts w:ascii="HelveticaNeueLT Std" w:hAnsi="HelveticaNeueLT Std"/>
          <w:b/>
          <w:bCs/>
          <w:sz w:val="24"/>
          <w:szCs w:val="24"/>
        </w:rPr>
        <w:t>Marco Avanzini</w:t>
      </w:r>
      <w:r>
        <w:rPr>
          <w:rFonts w:ascii="HelveticaNeueLT Std" w:hAnsi="HelveticaNeueLT Std"/>
          <w:bCs/>
          <w:sz w:val="24"/>
          <w:szCs w:val="24"/>
        </w:rPr>
        <w:t xml:space="preserve">: </w:t>
      </w:r>
      <w:r>
        <w:rPr>
          <w:rFonts w:ascii="HelveticaNeueLT Std" w:hAnsi="HelveticaNeueLT Std"/>
          <w:sz w:val="24"/>
          <w:szCs w:val="24"/>
        </w:rPr>
        <w:t xml:space="preserve">Laureato in Geologia presso l'Università degli Studi di Ferrara, dal 1993 è responsabile della Sezione di Geologia del Museo delle </w:t>
      </w:r>
      <w:r>
        <w:rPr>
          <w:rFonts w:cs="Arial" w:ascii="HelveticaNeueLT Std" w:hAnsi="HelveticaNeueLT Std"/>
          <w:sz w:val="24"/>
          <w:szCs w:val="24"/>
        </w:rPr>
        <w:t>​</w:t>
      </w:r>
      <w:r>
        <w:rPr>
          <w:rFonts w:ascii="HelveticaNeueLT Std" w:hAnsi="HelveticaNeueLT Std"/>
          <w:sz w:val="24"/>
          <w:szCs w:val="24"/>
        </w:rPr>
        <w:t>Scienze di Trento. Nell’ambito di progetti provinciali, nazionali e internazionali ha svolto ricerche su geologia, stratigrafia e paleontologia in ambiente alpino spostando progressivamente il suo interesse verso le relazioni uomo-territorio-ambiente.</w:t>
      </w:r>
    </w:p>
    <w:p>
      <w:pPr>
        <w:pStyle w:val="Normal"/>
        <w:jc w:val="both"/>
        <w:rPr>
          <w:rFonts w:ascii="HelveticaNeueLT Std" w:hAnsi="HelveticaNeueLT Std"/>
          <w:sz w:val="24"/>
          <w:szCs w:val="24"/>
        </w:rPr>
      </w:pPr>
      <w:r>
        <w:rPr>
          <w:rFonts w:ascii="HelveticaNeueLT Std" w:hAnsi="HelveticaNeueLT Std"/>
          <w:b/>
          <w:sz w:val="24"/>
          <w:szCs w:val="24"/>
        </w:rPr>
        <w:t>Christian Casarotto</w:t>
      </w:r>
      <w:r>
        <w:rPr>
          <w:rFonts w:ascii="HelveticaNeueLT Std" w:hAnsi="HelveticaNeueLT Std"/>
          <w:sz w:val="24"/>
          <w:szCs w:val="24"/>
        </w:rPr>
        <w:t>, Laurea in Scienze Naturali. Si dedica alla Geomorfologia, Geologia del Quaternario e quindi all’ </w:t>
      </w:r>
      <w:r>
        <w:rPr>
          <w:rFonts w:cs="Arial" w:ascii="HelveticaNeueLT Std" w:hAnsi="HelveticaNeueLT Std"/>
          <w:sz w:val="24"/>
          <w:szCs w:val="24"/>
        </w:rPr>
        <w:t>​</w:t>
      </w:r>
      <w:r>
        <w:rPr>
          <w:rFonts w:ascii="HelveticaNeueLT Std" w:hAnsi="HelveticaNeueLT Std"/>
          <w:sz w:val="24"/>
          <w:szCs w:val="24"/>
        </w:rPr>
        <w:t>evoluzione del paesaggio alpino relativamente alle dinamiche glaciali attuali, recenti e passate. Dopo essersi dedicato ai ghiacciai alpini di Monte Bianco, Monte Rosa e Bernina, concentra oggi la sua attività sui ghiacciai trentini in qualità di glaciologo del Comitato Glaciologico Trentino della SAT (Società degli Alpinisti Tridentini). </w:t>
      </w:r>
      <w:r>
        <w:rPr>
          <w:rFonts w:cs="Arial" w:ascii="HelveticaNeueLT Std" w:hAnsi="HelveticaNeueLT Std"/>
          <w:sz w:val="24"/>
          <w:szCs w:val="24"/>
        </w:rPr>
        <w:t>​​</w:t>
      </w:r>
      <w:r>
        <w:rPr>
          <w:rFonts w:ascii="HelveticaNeueLT Std" w:hAnsi="HelveticaNeueLT Std"/>
          <w:sz w:val="24"/>
          <w:szCs w:val="24"/>
        </w:rPr>
        <w:t>Altre attività di sua competenza sono la gestione e progettazione delle attività didattiche a carattere geologico, lo sviluppo di progetti museologici diffusi sul territorio, la divulgazione con convegni e mostre, l’organizzazione di eventi culturali, mostre interattive ed esposizioni temporanee e permanenti.</w:t>
      </w:r>
      <w:r>
        <w:rPr>
          <w:rFonts w:cs="Arial" w:ascii="HelveticaNeueLT Std" w:hAnsi="HelveticaNeueLT Std"/>
          <w:sz w:val="24"/>
          <w:szCs w:val="24"/>
        </w:rPr>
        <w:t>​​</w:t>
      </w:r>
    </w:p>
    <w:p>
      <w:pPr>
        <w:pStyle w:val="Normal"/>
        <w:rPr>
          <w:rFonts w:ascii="HelveticaNeueLT Std" w:hAnsi="HelveticaNeueLT Std"/>
          <w:b/>
          <w:b/>
          <w:bCs/>
          <w:sz w:val="24"/>
          <w:szCs w:val="24"/>
        </w:rPr>
      </w:pPr>
      <w:r>
        <w:rPr>
          <w:rFonts w:ascii="HelveticaNeueLT Std" w:hAnsi="HelveticaNeueLT Std"/>
          <w:b/>
          <w:bCs/>
          <w:sz w:val="24"/>
          <w:szCs w:val="24"/>
        </w:rPr>
      </w:r>
      <w:r>
        <w:br w:type="page"/>
      </w:r>
    </w:p>
    <w:p>
      <w:pPr>
        <w:pStyle w:val="Normal"/>
        <w:jc w:val="both"/>
        <w:rPr>
          <w:rFonts w:ascii="HelveticaNeueLT Std" w:hAnsi="HelveticaNeueLT Std"/>
          <w:b/>
          <w:b/>
          <w:bCs/>
          <w:sz w:val="24"/>
          <w:szCs w:val="24"/>
        </w:rPr>
      </w:pPr>
      <w:r>
        <w:rPr>
          <w:rFonts w:ascii="HelveticaNeueLT Std" w:hAnsi="HelveticaNeueLT Std"/>
          <w:b/>
          <w:bCs/>
          <w:sz w:val="24"/>
          <w:szCs w:val="24"/>
        </w:rPr>
      </w:r>
    </w:p>
    <w:p>
      <w:pPr>
        <w:pStyle w:val="Normal"/>
        <w:jc w:val="both"/>
        <w:rPr>
          <w:rFonts w:ascii="HelveticaNeueLT Std" w:hAnsi="HelveticaNeueLT Std"/>
          <w:b/>
          <w:b/>
          <w:bCs/>
          <w:sz w:val="24"/>
          <w:szCs w:val="24"/>
        </w:rPr>
      </w:pPr>
      <w:r>
        <w:rPr>
          <w:rFonts w:ascii="HelveticaNeueLT Std" w:hAnsi="HelveticaNeueLT Std"/>
          <w:b/>
          <w:bCs/>
          <w:sz w:val="24"/>
          <w:szCs w:val="24"/>
        </w:rPr>
      </w:r>
    </w:p>
    <w:p>
      <w:pPr>
        <w:pStyle w:val="Normal"/>
        <w:jc w:val="both"/>
        <w:rPr>
          <w:rFonts w:ascii="HelveticaNeueLT Std" w:hAnsi="HelveticaNeueLT Std"/>
          <w:b/>
          <w:b/>
          <w:bCs/>
          <w:color w:val="92D050"/>
          <w:sz w:val="24"/>
          <w:szCs w:val="24"/>
        </w:rPr>
      </w:pPr>
      <w:r>
        <w:rPr>
          <w:rFonts w:ascii="HelveticaNeueLT Std" w:hAnsi="HelveticaNeueLT Std"/>
          <w:b/>
          <w:bCs/>
          <w:color w:val="92D050"/>
          <w:sz w:val="24"/>
          <w:szCs w:val="24"/>
        </w:rPr>
        <w:t>MASSIMO BERNARDI (MUSE – Museo delle Scienze / per la serata, in collegamento da Bristol)</w:t>
      </w:r>
    </w:p>
    <w:p>
      <w:pPr>
        <w:pStyle w:val="Normal"/>
        <w:jc w:val="both"/>
        <w:rPr>
          <w:rFonts w:ascii="HelveticaNeueLT Std" w:hAnsi="HelveticaNeueLT Std"/>
          <w:bCs/>
          <w:i/>
          <w:i/>
          <w:sz w:val="24"/>
          <w:szCs w:val="24"/>
        </w:rPr>
      </w:pPr>
      <w:r>
        <w:rPr>
          <w:rFonts w:ascii="HelveticaNeueLT Std" w:hAnsi="HelveticaNeueLT Std"/>
          <w:bCs/>
          <w:i/>
          <w:sz w:val="24"/>
          <w:szCs w:val="24"/>
        </w:rPr>
        <w:t>“</w:t>
      </w:r>
      <w:r>
        <w:rPr>
          <w:rFonts w:ascii="HelveticaNeueLT Std" w:hAnsi="HelveticaNeueLT Std"/>
          <w:bCs/>
          <w:i/>
          <w:sz w:val="24"/>
          <w:szCs w:val="24"/>
        </w:rPr>
        <w:t>Quale è il ruolo delle catastrofi nella storia della vita?”</w:t>
      </w:r>
    </w:p>
    <w:p>
      <w:pPr>
        <w:pStyle w:val="Normal"/>
        <w:jc w:val="both"/>
        <w:rPr>
          <w:rFonts w:ascii="HelveticaNeueLT Std" w:hAnsi="HelveticaNeueLT Std"/>
          <w:bCs/>
          <w:i/>
          <w:i/>
          <w:sz w:val="24"/>
          <w:szCs w:val="24"/>
        </w:rPr>
      </w:pPr>
      <w:r>
        <w:rPr>
          <w:rFonts w:ascii="HelveticaNeueLT Std" w:hAnsi="HelveticaNeueLT Std"/>
          <w:bCs/>
          <w:i/>
          <w:sz w:val="24"/>
          <w:szCs w:val="24"/>
        </w:rPr>
      </w:r>
    </w:p>
    <w:p>
      <w:pPr>
        <w:pStyle w:val="Normal"/>
        <w:jc w:val="both"/>
        <w:rPr>
          <w:rFonts w:ascii="HelveticaNeueLT Std" w:hAnsi="HelveticaNeueLT Std"/>
          <w:sz w:val="24"/>
          <w:szCs w:val="24"/>
        </w:rPr>
      </w:pPr>
      <w:r>
        <w:rPr>
          <w:rFonts w:ascii="HelveticaNeueLT Std" w:hAnsi="HelveticaNeueLT Std"/>
          <w:sz w:val="24"/>
          <w:szCs w:val="24"/>
        </w:rPr>
        <w:t>Un periodo freddo, un vulcano che erutta, una società - quella umana - in crisi. Un’anomalia? Gli ecosistemi sono costituiti da un intreccio di complesse relazioni vita-ambiente i cui equilibri variabili hanno dato forma alla vita per come la conosciamo. Un approccio paleontologico, aperto a comprendere la profondità del tempo geologico, può aiutare a contestualizzare (in termini storici e di magnitudine) un evento come quello del 1816. Più in generale, ben oltre i margini della historia, ci chiederemo: qual è il ruolo delle catastrofi nella storia della vita?</w:t>
      </w:r>
    </w:p>
    <w:p>
      <w:pPr>
        <w:pStyle w:val="Normal"/>
        <w:jc w:val="both"/>
        <w:rPr>
          <w:rFonts w:ascii="HelveticaNeueLT Std" w:hAnsi="HelveticaNeueLT Std"/>
          <w:b/>
          <w:b/>
          <w:bCs/>
          <w:sz w:val="24"/>
          <w:szCs w:val="24"/>
        </w:rPr>
      </w:pPr>
      <w:r>
        <w:rPr>
          <w:rFonts w:ascii="HelveticaNeueLT Std" w:hAnsi="HelveticaNeueLT Std"/>
          <w:b/>
          <w:bCs/>
          <w:sz w:val="24"/>
          <w:szCs w:val="24"/>
        </w:rPr>
        <w:t xml:space="preserve">Massimo Bernardi </w:t>
      </w:r>
      <w:r>
        <w:rPr>
          <w:rFonts w:ascii="HelveticaNeueLT Std" w:hAnsi="HelveticaNeueLT Std"/>
          <w:sz w:val="24"/>
          <w:szCs w:val="24"/>
        </w:rPr>
        <w:t>Laureato in Scienze Naturali presso l'Università degli Studi di Padova, ha conseguito il titolo di Master of Science in Paleobiologia presso l'Università di Bristol (UK) dove ha poi proseguito con un dottorato dedicato allo studio dei vertebrati e degli ecosistemi terrestri attorno all'intervallo Permiano-Triassico. Si occupa di estinzioni, evoluzione morfologica, filogenetica e del dibattito sul concetto di specie in biologia e paleontologia. Ha operato come assistente nel laboratorio di Evoluzione Animale del Prof. A. Minelli (UniPD) e collabora con il Museo di Scienze Naturali dell'Alto Adige, i Geopark Bletterbach e Adamello-Brenta, la Fondazione Dolomiti UNESCO, le Università di Padova e Torino. Nel 2010 è stato docente del corso Processi e meccanismi evolutivi presso l'Università degli Studi di Padova. </w:t>
      </w:r>
      <w:r>
        <w:rPr>
          <w:rFonts w:cs="Arial" w:ascii="HelveticaNeueLT Std" w:hAnsi="HelveticaNeueLT Std"/>
          <w:sz w:val="24"/>
          <w:szCs w:val="24"/>
        </w:rPr>
        <w:t>​</w:t>
      </w:r>
      <w:r>
        <w:rPr>
          <w:rFonts w:ascii="HelveticaNeueLT Std" w:hAnsi="HelveticaNeueLT Std"/>
          <w:sz w:val="24"/>
          <w:szCs w:val="24"/>
        </w:rPr>
        <w:t>Dal 2008 collabora con il Museo delle Scienze di Trento dove, dal 2013, è conservatore per la paleontologia. È curatore della galleria di storia della vita del nuovo MUSE e co-autore di mostre itineranti quali Dino &amp; co., DinoMiti, rettili fossili delle Dolomiti, e Fossili Urbani.</w:t>
      </w:r>
      <w:r>
        <w:rPr>
          <w:rFonts w:cs="Arial" w:ascii="HelveticaNeueLT Std" w:hAnsi="HelveticaNeueLT Std"/>
          <w:sz w:val="24"/>
          <w:szCs w:val="24"/>
        </w:rPr>
        <w:t>​​​​</w:t>
      </w:r>
    </w:p>
    <w:p>
      <w:pPr>
        <w:pStyle w:val="Normal"/>
        <w:jc w:val="both"/>
        <w:rPr>
          <w:rFonts w:ascii="HelveticaNeueLT Std" w:hAnsi="HelveticaNeueLT Std"/>
          <w:b/>
          <w:b/>
          <w:bCs/>
          <w:color w:val="92D050"/>
          <w:sz w:val="24"/>
          <w:szCs w:val="24"/>
        </w:rPr>
      </w:pPr>
      <w:r>
        <w:rPr>
          <w:rFonts w:ascii="HelveticaNeueLT Std" w:hAnsi="HelveticaNeueLT Std"/>
          <w:b/>
          <w:bCs/>
          <w:color w:val="92D050"/>
          <w:sz w:val="24"/>
          <w:szCs w:val="24"/>
        </w:rPr>
      </w:r>
    </w:p>
    <w:p>
      <w:pPr>
        <w:pStyle w:val="Normal"/>
        <w:jc w:val="both"/>
        <w:rPr>
          <w:rFonts w:ascii="HelveticaNeueLT Std" w:hAnsi="HelveticaNeueLT Std"/>
          <w:i/>
          <w:i/>
          <w:sz w:val="24"/>
          <w:szCs w:val="24"/>
        </w:rPr>
      </w:pPr>
      <w:r>
        <w:rPr>
          <w:rFonts w:ascii="HelveticaNeueLT Std" w:hAnsi="HelveticaNeueLT Std"/>
          <w:b/>
          <w:bCs/>
          <w:color w:val="92D050"/>
          <w:sz w:val="24"/>
          <w:szCs w:val="24"/>
        </w:rPr>
        <w:t>PAOLO COSTA</w:t>
      </w:r>
      <w:r>
        <w:rPr>
          <w:rFonts w:eastAsia="Times New Roman" w:cs="Arial" w:ascii="HelveticaNeueLT Std" w:hAnsi="HelveticaNeueLT Std"/>
          <w:color w:val="92D050"/>
          <w:sz w:val="24"/>
          <w:szCs w:val="24"/>
        </w:rPr>
        <w:t xml:space="preserve"> </w:t>
      </w:r>
      <w:r>
        <w:rPr>
          <w:rFonts w:ascii="HelveticaNeueLT Std" w:hAnsi="HelveticaNeueLT Std"/>
          <w:b/>
          <w:bCs/>
          <w:color w:val="92D050"/>
          <w:sz w:val="24"/>
          <w:szCs w:val="24"/>
        </w:rPr>
        <w:t>(FBK)</w:t>
      </w:r>
    </w:p>
    <w:p>
      <w:pPr>
        <w:pStyle w:val="Normal"/>
        <w:jc w:val="both"/>
        <w:rPr>
          <w:rFonts w:ascii="HelveticaNeueLT Std" w:hAnsi="HelveticaNeueLT Std"/>
          <w:i/>
          <w:i/>
          <w:sz w:val="24"/>
          <w:szCs w:val="24"/>
        </w:rPr>
      </w:pPr>
      <w:r>
        <w:rPr>
          <w:rFonts w:ascii="HelveticaNeueLT Std" w:hAnsi="HelveticaNeueLT Std"/>
          <w:i/>
          <w:sz w:val="24"/>
          <w:szCs w:val="24"/>
        </w:rPr>
        <w:t>"Dalla fame può nascere la speranza? Le emergenze ambientali come sfide morali"</w:t>
      </w:r>
    </w:p>
    <w:p>
      <w:pPr>
        <w:pStyle w:val="Normal"/>
        <w:jc w:val="both"/>
        <w:rPr>
          <w:rFonts w:ascii="HelveticaNeueLT Std" w:hAnsi="HelveticaNeueLT Std" w:eastAsia="Times New Roman" w:cs="Times New Roman"/>
          <w:i/>
          <w:i/>
          <w:iCs/>
          <w:sz w:val="24"/>
          <w:szCs w:val="24"/>
        </w:rPr>
      </w:pPr>
      <w:r>
        <w:rPr>
          <w:rFonts w:ascii="HelveticaNeueLT Std" w:hAnsi="HelveticaNeueLT Std"/>
          <w:sz w:val="24"/>
          <w:szCs w:val="24"/>
        </w:rPr>
        <w:t>Eventi climatici e sociali catastrofici come l'anno della miseria lasciano tracce profonde nella storia dei popoli e nella memoria collettiva. Ma è ragionevole sostenere che da simili traumi si possono ricavare lezioni morali universali? E queste lezioni possono essere applicate anche alle sfide globali a cui il genere umano è posto di fronte oggi o che sarà chiamato ad affrontare nei prossimi decenni (ad esempio il riscaldamento globale)? Il nodo della questione è il concetto di progresso morale, che è un'idea notoriamente controversa. Nel corso dell’intervento Paolo Costa si soffermerà su due punti: come si producono le innovazioni morali nella storia umana e quale contributo effettivo può dare una coscienza etica rinnovata al progresso dell'umanità.</w:t>
      </w:r>
      <w:r>
        <w:rPr>
          <w:rFonts w:eastAsia="Times New Roman" w:cs="Times New Roman" w:ascii="HelveticaNeueLT Std" w:hAnsi="HelveticaNeueLT Std"/>
          <w:i/>
          <w:iCs/>
          <w:sz w:val="24"/>
          <w:szCs w:val="24"/>
        </w:rPr>
        <w:t> </w:t>
      </w:r>
    </w:p>
    <w:p>
      <w:pPr>
        <w:pStyle w:val="Normal"/>
        <w:jc w:val="both"/>
        <w:rPr>
          <w:rFonts w:ascii="HelveticaNeueLT Std" w:hAnsi="HelveticaNeueLT Std"/>
          <w:sz w:val="24"/>
          <w:szCs w:val="24"/>
        </w:rPr>
      </w:pPr>
      <w:r>
        <w:rPr>
          <w:rFonts w:ascii="HelveticaNeueLT Std" w:hAnsi="HelveticaNeueLT Std"/>
          <w:b/>
          <w:bCs/>
          <w:sz w:val="24"/>
          <w:szCs w:val="24"/>
        </w:rPr>
        <w:t>Paolo Costa</w:t>
      </w:r>
      <w:r>
        <w:rPr>
          <w:rFonts w:eastAsia="Times New Roman" w:cs="Arial" w:ascii="HelveticaNeueLT Std" w:hAnsi="HelveticaNeueLT Std"/>
          <w:sz w:val="24"/>
          <w:szCs w:val="24"/>
        </w:rPr>
        <w:t xml:space="preserve"> </w:t>
      </w:r>
      <w:r>
        <w:rPr>
          <w:rFonts w:ascii="HelveticaNeueLT Std" w:hAnsi="HelveticaNeueLT Std"/>
          <w:sz w:val="24"/>
          <w:szCs w:val="24"/>
        </w:rPr>
        <w:t>(Milano, 1966) è ricercatore in filosofia presso il Centro per le Scienze Religiose della Fondazione Bruno Kessler. Ha studiato a Milano, Parma, Toronto. È autore, fra l'altro, di Un'idea di umanità. Etica e natura dopo Darwin (Bologna 2007) e La ragione e i suoi eccessi (Milano 2014, vincitore del Premio Nazionale di Divulgazione Scientifica 2014). Ha curato l'edizione italiana di C. Darwin, Viaggio di un naturalista intorno al mondo (Milano 2009).</w:t>
      </w:r>
    </w:p>
    <w:p>
      <w:pPr>
        <w:pStyle w:val="Default"/>
        <w:jc w:val="both"/>
        <w:rPr>
          <w:rFonts w:ascii="HelveticaNeueLT Std" w:hAnsi="HelveticaNeueLT Std"/>
          <w:b/>
          <w:b/>
          <w:bCs/>
          <w:color w:val="92D050"/>
        </w:rPr>
      </w:pPr>
      <w:r>
        <w:rPr>
          <w:rFonts w:ascii="HelveticaNeueLT Std" w:hAnsi="HelveticaNeueLT Std"/>
        </w:rPr>
        <w:br/>
      </w:r>
      <w:r>
        <w:rPr>
          <w:rFonts w:ascii="HelveticaNeueLT Std" w:hAnsi="HelveticaNeueLT Std"/>
          <w:b/>
          <w:bCs/>
          <w:color w:val="92D050"/>
        </w:rPr>
        <w:t>LUIGI IAFRATE (CREA – Unità di Ricerca per la Climatologia e la Meteorologia applicate all’Agricoltura - a breve CREA-AA)</w:t>
      </w:r>
    </w:p>
    <w:p>
      <w:pPr>
        <w:pStyle w:val="Default"/>
        <w:jc w:val="both"/>
        <w:rPr>
          <w:rFonts w:ascii="HelveticaNeueLT Std" w:hAnsi="HelveticaNeueLT Std"/>
          <w:i/>
          <w:i/>
        </w:rPr>
      </w:pPr>
      <w:r>
        <w:rPr>
          <w:rFonts w:ascii="HelveticaNeueLT Std" w:hAnsi="HelveticaNeueLT Std"/>
          <w:i/>
        </w:rPr>
      </w:r>
    </w:p>
    <w:p>
      <w:pPr>
        <w:pStyle w:val="Default"/>
        <w:jc w:val="both"/>
        <w:rPr>
          <w:rFonts w:ascii="HelveticaNeueLT Std" w:hAnsi="HelveticaNeueLT Std"/>
          <w:i/>
          <w:i/>
        </w:rPr>
      </w:pPr>
      <w:r>
        <w:rPr>
          <w:rFonts w:ascii="HelveticaNeueLT Std" w:hAnsi="HelveticaNeueLT Std"/>
          <w:i/>
        </w:rPr>
        <w:t>"</w:t>
      </w:r>
      <w:r>
        <w:rPr>
          <w:rFonts w:eastAsia="Calibri" w:cs="" w:ascii="HelveticaNeueLT Std" w:hAnsi="HelveticaNeueLT Std" w:cstheme="minorBidi" w:eastAsiaTheme="minorHAnsi"/>
          <w:i/>
          <w:color w:val="00000A"/>
        </w:rPr>
        <w:t>L’estate buia e gelida del 1816 in Trentino: il punto di vista della climatologia storica</w:t>
      </w:r>
      <w:r>
        <w:rPr>
          <w:rFonts w:ascii="HelveticaNeueLT Std" w:hAnsi="HelveticaNeueLT Std"/>
          <w:i/>
        </w:rPr>
        <w:t>"</w:t>
      </w:r>
    </w:p>
    <w:p>
      <w:pPr>
        <w:pStyle w:val="Default"/>
        <w:jc w:val="both"/>
        <w:rPr>
          <w:rFonts w:ascii="HelveticaNeueLT Std" w:hAnsi="HelveticaNeueLT Std"/>
        </w:rPr>
      </w:pPr>
      <w:r>
        <w:rPr>
          <w:rFonts w:ascii="HelveticaNeueLT Std" w:hAnsi="HelveticaNeueLT Std"/>
        </w:rPr>
      </w:r>
    </w:p>
    <w:p>
      <w:pPr>
        <w:pStyle w:val="Normal"/>
        <w:jc w:val="both"/>
        <w:rPr/>
      </w:pPr>
      <w:r>
        <w:rPr>
          <w:rFonts w:ascii="HelveticaNeueLT Std" w:hAnsi="HelveticaNeueLT Std"/>
          <w:sz w:val="24"/>
          <w:szCs w:val="24"/>
        </w:rPr>
        <w:t>La climatologia storica (branca della climatologia che studia il clima in relazione alle vicende storiche dell’uomo) ha appurato che, nell’</w:t>
      </w:r>
      <w:hyperlink r:id="rId2">
        <w:r>
          <w:rPr>
            <w:rStyle w:val="CollegamentoInternet"/>
            <w:rFonts w:ascii="HelveticaNeueLT Std" w:hAnsi="HelveticaNeueLT Std"/>
            <w:sz w:val="24"/>
            <w:szCs w:val="24"/>
          </w:rPr>
          <w:t>Europa settentrionale</w:t>
        </w:r>
      </w:hyperlink>
      <w:r>
        <w:rPr>
          <w:rFonts w:ascii="HelveticaNeueLT Std" w:hAnsi="HelveticaNeueLT Std"/>
          <w:sz w:val="24"/>
          <w:szCs w:val="24"/>
        </w:rPr>
        <w:t xml:space="preserve"> e negli </w:t>
      </w:r>
      <w:hyperlink r:id="rId3">
        <w:r>
          <w:rPr>
            <w:rStyle w:val="CollegamentoInternet"/>
            <w:rFonts w:ascii="HelveticaNeueLT Std" w:hAnsi="HelveticaNeueLT Std"/>
            <w:sz w:val="24"/>
            <w:szCs w:val="24"/>
          </w:rPr>
          <w:t>stati americani</w:t>
        </w:r>
      </w:hyperlink>
      <w:r>
        <w:rPr>
          <w:rFonts w:ascii="HelveticaNeueLT Std" w:hAnsi="HelveticaNeueLT Std"/>
          <w:sz w:val="24"/>
          <w:szCs w:val="24"/>
        </w:rPr>
        <w:t xml:space="preserve"> del nord-est, il decennio 1810-1820 si contraddistinse segnatamente per il freddo, a causa di una serie di annate caratterizzate da anomalie termiche negative, più o meno marcate, in tutte le stagioni. Un esempio tipico è offerto dal 1816, passato alla storia come «l’anno senza estate»: le ceneri del vulcano Tambora, oscurando il cielo, resero il clima estivo nientemeno che gelido. Al freddo insolito, come se da solo non bastasse, si unì un considerevole aumento della piovosità! Molti furono i raccolti distrutti. Le gravi crisi alimentari e le epidemie che ne derivarono, colpendo una società ancora assai vulnerabile alle avversità climatiche, seminarono moltissime vittime. Lo spettro della fame incombeva ovunque! Anche in Italia l’estate si trasformò in inverno, specie nelle regioni del nord. La</w:t>
      </w:r>
      <w:r>
        <w:rPr>
          <w:rFonts w:ascii="HelveticaNeueLT Std" w:hAnsi="HelveticaNeueLT Std"/>
          <w:b/>
          <w:bCs/>
          <w:sz w:val="24"/>
          <w:szCs w:val="24"/>
        </w:rPr>
        <w:t xml:space="preserve"> </w:t>
      </w:r>
      <w:r>
        <w:rPr>
          <w:rFonts w:ascii="HelveticaNeueLT Std" w:hAnsi="HelveticaNeueLT Std"/>
          <w:bCs/>
          <w:sz w:val="24"/>
          <w:szCs w:val="24"/>
        </w:rPr>
        <w:t>“valle di Trento” era diventata “una Siberia” e molte</w:t>
      </w:r>
      <w:r>
        <w:rPr>
          <w:rFonts w:ascii="HelveticaNeueLT Std" w:hAnsi="HelveticaNeueLT Std"/>
          <w:b/>
          <w:bCs/>
          <w:sz w:val="24"/>
          <w:szCs w:val="24"/>
        </w:rPr>
        <w:t xml:space="preserve"> </w:t>
      </w:r>
      <w:r>
        <w:rPr>
          <w:rFonts w:ascii="HelveticaNeueLT Std" w:hAnsi="HelveticaNeueLT Std"/>
          <w:sz w:val="24"/>
          <w:szCs w:val="24"/>
        </w:rPr>
        <w:t xml:space="preserve">settimane estive trascorsero all’insegna del freddo invernale. La brina imbiancava quasi sempre i campi, al mattino. </w:t>
      </w:r>
      <w:r>
        <w:rPr>
          <w:rFonts w:ascii="HelveticaNeueLT Std" w:hAnsi="HelveticaNeueLT Std"/>
          <w:bCs/>
          <w:sz w:val="24"/>
          <w:szCs w:val="24"/>
        </w:rPr>
        <w:t>Diversi villaggi di montagna erano stati abbandonati per la gran copia di neve estiva caduta. La situazione dei raccolti era drammatica (da: Il Messagiere Tirolese - Trento, 1816).</w:t>
      </w:r>
    </w:p>
    <w:p>
      <w:pPr>
        <w:pStyle w:val="Normal"/>
        <w:jc w:val="both"/>
        <w:rPr>
          <w:rFonts w:ascii="HelveticaNeueLT Std" w:hAnsi="HelveticaNeueLT Std"/>
          <w:bCs/>
          <w:sz w:val="24"/>
          <w:szCs w:val="24"/>
        </w:rPr>
      </w:pPr>
      <w:r>
        <w:rPr>
          <w:rFonts w:ascii="HelveticaNeueLT Std" w:hAnsi="HelveticaNeueLT Std"/>
          <w:bCs/>
          <w:sz w:val="24"/>
          <w:szCs w:val="24"/>
        </w:rPr>
      </w:r>
    </w:p>
    <w:p>
      <w:pPr>
        <w:pStyle w:val="Normal"/>
        <w:jc w:val="both"/>
        <w:rPr>
          <w:rFonts w:ascii="HelveticaNeueLT Std" w:hAnsi="HelveticaNeueLT Std"/>
          <w:sz w:val="24"/>
          <w:szCs w:val="24"/>
        </w:rPr>
      </w:pPr>
      <w:r>
        <w:rPr>
          <w:rFonts w:ascii="HelveticaNeueLT Std" w:hAnsi="HelveticaNeueLT Std"/>
          <w:b/>
          <w:sz w:val="24"/>
          <w:szCs w:val="24"/>
        </w:rPr>
        <w:t>Luigi Iafrate</w:t>
      </w:r>
      <w:r>
        <w:rPr>
          <w:rFonts w:ascii="HelveticaNeueLT Std" w:hAnsi="HelveticaNeueLT Std"/>
          <w:sz w:val="24"/>
          <w:szCs w:val="24"/>
        </w:rPr>
        <w:t xml:space="preserve"> ha conseguito la laurea in Materie Letterarie con Indirizzo Geografico presso l’Università degli Studi Roma Tre. Ha svolto attività di ricerca in materia di Storia della meteorologia e del clima presso il CNR e il CREA-CMA (già UCEA). Ha svolto attività di docenza all’Università Europea di Roma in materia di Storia del clima, nell’ambito del Master in Scienze Ambientali. Lavora attualmente presso l’Unità di Ricerca per la Climatologia e la Meteorologia applicate all'Agricoltura del Consiglio per la Ricerca in Agricoltura e l’Analisi dell’Economia agraria (CREA-CMA), occupandosi principalmente di data entry e ricerche storico-bibliografiche. È autore dei testi </w:t>
      </w:r>
      <w:r>
        <w:rPr>
          <w:rFonts w:ascii="HelveticaNeueLT Std" w:hAnsi="HelveticaNeueLT Std"/>
          <w:i/>
          <w:iCs/>
          <w:sz w:val="24"/>
          <w:szCs w:val="24"/>
        </w:rPr>
        <w:t xml:space="preserve">Dalla meteorologia antica alle origini italiane della meteorologia moderna </w:t>
      </w:r>
      <w:r>
        <w:rPr>
          <w:rFonts w:ascii="HelveticaNeueLT Std" w:hAnsi="HelveticaNeueLT Std"/>
          <w:sz w:val="24"/>
          <w:szCs w:val="24"/>
        </w:rPr>
        <w:t xml:space="preserve">e </w:t>
      </w:r>
      <w:r>
        <w:rPr>
          <w:rFonts w:ascii="HelveticaNeueLT Std" w:hAnsi="HelveticaNeueLT Std"/>
          <w:i/>
          <w:iCs/>
          <w:sz w:val="24"/>
          <w:szCs w:val="24"/>
        </w:rPr>
        <w:t>Fede e scienza: un incontro proficuo. Origini e sviluppo della meteorologia fino agli inizi del ‘900</w:t>
      </w:r>
      <w:r>
        <w:rPr>
          <w:rFonts w:ascii="HelveticaNeueLT Std" w:hAnsi="HelveticaNeueLT Std"/>
          <w:sz w:val="24"/>
          <w:szCs w:val="24"/>
        </w:rPr>
        <w:t xml:space="preserve">. È coautore del libro </w:t>
      </w:r>
      <w:r>
        <w:rPr>
          <w:rFonts w:ascii="HelveticaNeueLT Std" w:hAnsi="HelveticaNeueLT Std"/>
          <w:i/>
          <w:iCs/>
          <w:sz w:val="24"/>
          <w:szCs w:val="24"/>
        </w:rPr>
        <w:t>Il mistero del tempo e del clima</w:t>
      </w:r>
      <w:r>
        <w:rPr>
          <w:rFonts w:ascii="HelveticaNeueLT Std" w:hAnsi="HelveticaNeueLT Std"/>
          <w:sz w:val="24"/>
          <w:szCs w:val="24"/>
        </w:rPr>
        <w:t xml:space="preserve"> e dell’</w:t>
      </w:r>
      <w:r>
        <w:rPr>
          <w:rFonts w:ascii="HelveticaNeueLT Std" w:hAnsi="HelveticaNeueLT Std"/>
          <w:i/>
          <w:iCs/>
          <w:sz w:val="24"/>
          <w:szCs w:val="24"/>
        </w:rPr>
        <w:t>Atlante italiano del clima e dei cambiamenti climatici</w:t>
      </w:r>
      <w:r>
        <w:rPr>
          <w:rFonts w:ascii="HelveticaNeueLT Std" w:hAnsi="HelveticaNeueLT Std"/>
          <w:sz w:val="24"/>
          <w:szCs w:val="24"/>
        </w:rPr>
        <w:t>. </w:t>
      </w:r>
    </w:p>
    <w:p>
      <w:pPr>
        <w:pStyle w:val="Normal"/>
        <w:jc w:val="both"/>
        <w:rPr>
          <w:rFonts w:ascii="HelveticaNeueLT Std" w:hAnsi="HelveticaNeueLT Std"/>
          <w:b/>
          <w:b/>
          <w:bCs/>
          <w:color w:val="92D050"/>
          <w:sz w:val="24"/>
          <w:szCs w:val="24"/>
        </w:rPr>
      </w:pPr>
      <w:r>
        <w:rPr>
          <w:rFonts w:ascii="HelveticaNeueLT Std" w:hAnsi="HelveticaNeueLT Std"/>
          <w:b/>
          <w:bCs/>
          <w:color w:val="92D050"/>
          <w:sz w:val="24"/>
          <w:szCs w:val="24"/>
        </w:rPr>
      </w:r>
    </w:p>
    <w:p>
      <w:pPr>
        <w:pStyle w:val="Normal"/>
        <w:jc w:val="both"/>
        <w:rPr>
          <w:rFonts w:ascii="HelveticaNeueLT Std" w:hAnsi="HelveticaNeueLT Std"/>
          <w:b/>
          <w:b/>
          <w:bCs/>
          <w:color w:val="92D050"/>
          <w:sz w:val="24"/>
          <w:szCs w:val="24"/>
        </w:rPr>
      </w:pPr>
      <w:r>
        <w:rPr>
          <w:rFonts w:ascii="HelveticaNeueLT Std" w:hAnsi="HelveticaNeueLT Std"/>
          <w:b/>
          <w:bCs/>
          <w:color w:val="92D050"/>
          <w:sz w:val="24"/>
          <w:szCs w:val="24"/>
        </w:rPr>
        <w:t>CLAUDIA PRINCIPE (ISTITUTO DI GEOSCIENZE E GEORISORSE DEL CONSIGLIO NAZIONALE DELLE RICERCHE- PISA)</w:t>
      </w:r>
    </w:p>
    <w:p>
      <w:pPr>
        <w:pStyle w:val="Default"/>
        <w:jc w:val="both"/>
        <w:rPr>
          <w:rFonts w:ascii="HelveticaNeueLT Std" w:hAnsi="HelveticaNeueLT Std"/>
          <w:i/>
          <w:i/>
        </w:rPr>
      </w:pPr>
      <w:r>
        <w:rPr>
          <w:rFonts w:ascii="HelveticaNeueLT Std" w:hAnsi="HelveticaNeueLT Std"/>
          <w:i/>
        </w:rPr>
        <w:t xml:space="preserve"> “</w:t>
      </w:r>
      <w:r>
        <w:rPr>
          <w:rFonts w:ascii="HelveticaNeueLT Std" w:hAnsi="HelveticaNeueLT Std"/>
          <w:i/>
        </w:rPr>
        <w:t>l’eruzione del Tambora del 1815 – fenomenologia eruttiva ed elementi di vulcanologia”</w:t>
      </w:r>
    </w:p>
    <w:p>
      <w:pPr>
        <w:pStyle w:val="Default"/>
        <w:jc w:val="both"/>
        <w:rPr>
          <w:rFonts w:ascii="HelveticaNeueLT Std" w:hAnsi="HelveticaNeueLT Std"/>
        </w:rPr>
      </w:pPr>
      <w:r>
        <w:rPr>
          <w:rFonts w:ascii="HelveticaNeueLT Std" w:hAnsi="HelveticaNeueLT Std"/>
        </w:rPr>
      </w:r>
    </w:p>
    <w:p>
      <w:pPr>
        <w:pStyle w:val="Normal"/>
        <w:jc w:val="both"/>
        <w:rPr>
          <w:rFonts w:ascii="HelveticaNeueLT Std" w:hAnsi="HelveticaNeueLT Std"/>
          <w:sz w:val="24"/>
          <w:szCs w:val="24"/>
        </w:rPr>
      </w:pPr>
      <w:r>
        <w:rPr>
          <w:rFonts w:ascii="HelveticaNeueLT Std" w:hAnsi="HelveticaNeueLT Std"/>
          <w:sz w:val="24"/>
          <w:szCs w:val="24"/>
        </w:rPr>
        <w:t xml:space="preserve">Quali sono i meccanismi in grado di produrre una super-eruzione? Che tipo di dinamica eruttiva è capace di riempire l’atmosfera con milioni di metri cubi di gas, ceneri e pomici? Cosa differenzia veramente una simile eruzione da quelle dei “nostri” vulcani? È solo più grossa? A queste e ad altre simili domande la scienza è in grado di dare delle risposte; delle risposte comprensibili, che ci portano a guardare al mondo in cui viviamo in modo più realistico e meno egocentrico.     </w:t>
      </w:r>
    </w:p>
    <w:p>
      <w:pPr>
        <w:pStyle w:val="Normal"/>
        <w:jc w:val="both"/>
        <w:rPr>
          <w:rFonts w:ascii="HelveticaNeueLT Std" w:hAnsi="HelveticaNeueLT Std"/>
          <w:sz w:val="24"/>
          <w:szCs w:val="24"/>
        </w:rPr>
      </w:pPr>
      <w:r>
        <w:rPr>
          <w:rFonts w:ascii="HelveticaNeueLT Std" w:hAnsi="HelveticaNeueLT Std"/>
          <w:sz w:val="24"/>
          <w:szCs w:val="24"/>
        </w:rPr>
      </w:r>
    </w:p>
    <w:p>
      <w:pPr>
        <w:pStyle w:val="Normal"/>
        <w:jc w:val="both"/>
        <w:rPr>
          <w:rFonts w:ascii="HelveticaNeueLT Std" w:hAnsi="HelveticaNeueLT Std"/>
          <w:sz w:val="24"/>
          <w:szCs w:val="24"/>
        </w:rPr>
      </w:pPr>
      <w:r>
        <w:rPr>
          <w:rFonts w:ascii="HelveticaNeueLT Std" w:hAnsi="HelveticaNeueLT Std"/>
          <w:b/>
          <w:sz w:val="24"/>
          <w:szCs w:val="24"/>
        </w:rPr>
        <w:t>Claudia Principe.</w:t>
      </w:r>
      <w:r>
        <w:rPr>
          <w:rFonts w:ascii="HelveticaNeueLT Std" w:hAnsi="HelveticaNeueLT Std"/>
          <w:sz w:val="24"/>
          <w:szCs w:val="24"/>
        </w:rPr>
        <w:t xml:space="preserve"> È Primo Ricercatore CNR presso l’Istituto di Geoscienze e Georisorse del CNR di Pisa. Si interessa di Vulcanologia Fisica e geo-archeologia. È rappresentante del Consiglio Nazionale delle Ricerche (CNR) nei confronti dell’International Association of Volcanology and Chemistry of the Earth Interior (IAVCEI) facente parte della International Union of Geology and Geophysics (IUGG), componente del Consiglio Direttivo dell’associazione di divulgazione scientifica la Nuova Limonaia di Pisa, componente della Commissione Geotermia del Consiglio Nazionale dei Geologi, fa parte della Commissione Scientifica della rivista “il Geologo” trimestrale dell’Ordine dei Geologi della Toscana. È inoltre responsabile del modulo PC.P01.007.003 IGG-CNR “Tecniche archeomagnetiche per la caratterizzazione di siti ed oggetti archeologici”, responsabile del Laboratorio di Microcarotaggio Stratigrafico (DUNE_Lab) di IGG-CNR in Pisa e del Laboratorio di Archeomagnetismo (ARCHEO_Lab) di IGG-CNR in Viareggio (LU). </w:t>
      </w:r>
    </w:p>
    <w:p>
      <w:pPr>
        <w:pStyle w:val="Normal"/>
        <w:jc w:val="both"/>
        <w:rPr>
          <w:rFonts w:ascii="HelveticaNeueLT Std" w:hAnsi="HelveticaNeueLT Std"/>
          <w:sz w:val="24"/>
          <w:szCs w:val="24"/>
        </w:rPr>
      </w:pPr>
      <w:bookmarkStart w:id="3" w:name="_GoBack"/>
      <w:bookmarkStart w:id="4" w:name="_GoBack"/>
      <w:bookmarkEnd w:id="4"/>
      <w:r>
        <w:rPr>
          <w:rFonts w:ascii="HelveticaNeueLT Std" w:hAnsi="HelveticaNeueLT Std"/>
          <w:sz w:val="24"/>
          <w:szCs w:val="24"/>
        </w:rPr>
      </w:r>
    </w:p>
    <w:p>
      <w:pPr>
        <w:pStyle w:val="Normal"/>
        <w:jc w:val="both"/>
        <w:rPr>
          <w:rFonts w:ascii="HelveticaNeueLT Std" w:hAnsi="HelveticaNeueLT Std"/>
          <w:b/>
          <w:b/>
          <w:bCs/>
          <w:color w:val="92D050"/>
          <w:sz w:val="24"/>
          <w:szCs w:val="24"/>
        </w:rPr>
      </w:pPr>
      <w:r>
        <w:rPr>
          <w:rFonts w:ascii="HelveticaNeueLT Std" w:hAnsi="HelveticaNeueLT Std"/>
          <w:b/>
          <w:bCs/>
          <w:color w:val="92D050"/>
          <w:sz w:val="24"/>
          <w:szCs w:val="24"/>
        </w:rPr>
        <w:t>ROBERTO ROSON (UNIVERSITÀ CA’ FOSCARI - VE)</w:t>
      </w:r>
    </w:p>
    <w:p>
      <w:pPr>
        <w:pStyle w:val="Normal"/>
        <w:jc w:val="both"/>
        <w:rPr>
          <w:rFonts w:ascii="HelveticaNeueLT Std" w:hAnsi="HelveticaNeueLT Std"/>
          <w:i/>
          <w:i/>
          <w:sz w:val="24"/>
          <w:szCs w:val="24"/>
        </w:rPr>
      </w:pPr>
      <w:r>
        <w:rPr>
          <w:rFonts w:ascii="HelveticaNeueLT Std" w:hAnsi="HelveticaNeueLT Std"/>
          <w:i/>
          <w:sz w:val="24"/>
          <w:szCs w:val="24"/>
        </w:rPr>
        <w:t>"Sicurezza alimentare: siamo sicuri di sapere cosa vuol dire veramente?”</w:t>
      </w:r>
    </w:p>
    <w:p>
      <w:pPr>
        <w:pStyle w:val="Normal"/>
        <w:jc w:val="both"/>
        <w:rPr>
          <w:rFonts w:ascii="HelveticaNeueLT Std" w:hAnsi="HelveticaNeueLT Std"/>
          <w:sz w:val="24"/>
          <w:szCs w:val="24"/>
        </w:rPr>
      </w:pPr>
      <w:r>
        <w:rPr>
          <w:rFonts w:ascii="HelveticaNeueLT Std" w:hAnsi="HelveticaNeueLT Std"/>
          <w:sz w:val="24"/>
          <w:szCs w:val="24"/>
        </w:rPr>
        <w:br/>
        <w:t>Il tema della sicurezza alimentare ricorre spesso nel dibattito sulla sostenibilità delle politiche agroalimentari, soprattutto con riferimento ai paesi in via di sviluppo, ma purtroppo intorno a questo termine vige molta confusione, al punto tale che viene talora utilizzato per giustificare politiche che, anziché aumentare la sicurezza, finiscono per ridurla. Nel corso dell’intervento verrà proposta una chiave di lettura del significato di "sicurezza alimentare", anche per analogia con termini simili, come quello della sicurezza energetica. A partire da ciò, si parlerà di come il commercio internazionale, e la rimozione delle diverse barriere e distorsioni che ancora sussistono a riguardo, sia un fattore determinante per la realizzazione di una relativa sicurezza alimentare.</w:t>
        <w:br/>
      </w:r>
    </w:p>
    <w:p>
      <w:pPr>
        <w:pStyle w:val="Normal"/>
        <w:jc w:val="both"/>
        <w:rPr>
          <w:rFonts w:ascii="HelveticaNeueLT Std" w:hAnsi="HelveticaNeueLT Std"/>
          <w:sz w:val="24"/>
          <w:szCs w:val="24"/>
        </w:rPr>
      </w:pPr>
      <w:r>
        <w:rPr>
          <w:rFonts w:ascii="HelveticaNeueLT Std" w:hAnsi="HelveticaNeueLT Std"/>
          <w:sz w:val="24"/>
          <w:szCs w:val="24"/>
        </w:rPr>
        <w:br/>
      </w:r>
      <w:r>
        <w:rPr>
          <w:rFonts w:ascii="HelveticaNeueLT Std" w:hAnsi="HelveticaNeueLT Std"/>
          <w:b/>
          <w:bCs/>
          <w:sz w:val="24"/>
          <w:szCs w:val="24"/>
        </w:rPr>
        <w:t xml:space="preserve">Roberto Roson: </w:t>
      </w:r>
      <w:r>
        <w:rPr>
          <w:rFonts w:ascii="HelveticaNeueLT Std" w:hAnsi="HelveticaNeueLT Std"/>
          <w:sz w:val="24"/>
          <w:szCs w:val="24"/>
        </w:rPr>
        <w:t>Professore Associato presso il Dipartimento di Economia dell’Università Ca’Foscari di Venezia, e affiliato al centro di ricerca IEFE dell'Università Bocconi di Milano. Autore di numerosi articoli pubblicati su libri e riviste scientifiche internazionali, ha coordinato diversi progetti di ricerca applicata, ed è stato consulente per diverse organizzazioni, tra cui: Commissione Europea (JRC), Banca Mondiale, Nazioni Unite e FAO. I suoi interessi di ricerca riguardano principalmente l'economia ambientale, i modelli computazionali per la simulazione delle politiche economiche e l’economia industriale dei settori dei servizi.</w:t>
      </w:r>
    </w:p>
    <w:p>
      <w:pPr>
        <w:pStyle w:val="Normal"/>
        <w:jc w:val="both"/>
        <w:rPr>
          <w:rFonts w:ascii="HelveticaNeueLT Std" w:hAnsi="HelveticaNeueLT Std"/>
          <w:sz w:val="24"/>
          <w:szCs w:val="24"/>
        </w:rPr>
      </w:pPr>
      <w:r>
        <w:rPr>
          <w:rFonts w:ascii="HelveticaNeueLT Std" w:hAnsi="HelveticaNeueLT Std"/>
          <w:sz w:val="24"/>
          <w:szCs w:val="24"/>
        </w:rPr>
      </w:r>
    </w:p>
    <w:p>
      <w:pPr>
        <w:pStyle w:val="Normal"/>
        <w:jc w:val="both"/>
        <w:rPr>
          <w:rFonts w:ascii="HelveticaNeueLT Std" w:hAnsi="HelveticaNeueLT Std"/>
          <w:b/>
          <w:b/>
          <w:bCs/>
          <w:sz w:val="24"/>
          <w:szCs w:val="24"/>
        </w:rPr>
      </w:pPr>
      <w:r>
        <w:rPr>
          <w:rFonts w:ascii="HelveticaNeueLT Std" w:hAnsi="HelveticaNeueLT Std"/>
          <w:b/>
          <w:bCs/>
          <w:sz w:val="24"/>
          <w:szCs w:val="24"/>
        </w:rPr>
        <w:t> </w:t>
      </w:r>
    </w:p>
    <w:p>
      <w:pPr>
        <w:pStyle w:val="Normal"/>
        <w:jc w:val="both"/>
        <w:rPr>
          <w:rFonts w:ascii="HelveticaNeueLT Std" w:hAnsi="HelveticaNeueLT Std"/>
          <w:b/>
          <w:b/>
          <w:bCs/>
          <w:color w:val="92D050"/>
          <w:sz w:val="24"/>
          <w:szCs w:val="24"/>
        </w:rPr>
      </w:pPr>
      <w:r>
        <w:rPr>
          <w:rFonts w:ascii="HelveticaNeueLT Std" w:hAnsi="HelveticaNeueLT Std"/>
          <w:b/>
          <w:bCs/>
          <w:color w:val="92D050"/>
          <w:sz w:val="24"/>
          <w:szCs w:val="24"/>
        </w:rPr>
        <w:t>ANDREA SEGRÉ (PRESIDENTE FONDAZIONE EDMUND MACH)</w:t>
      </w:r>
    </w:p>
    <w:p>
      <w:pPr>
        <w:pStyle w:val="Normal"/>
        <w:jc w:val="both"/>
        <w:rPr>
          <w:rFonts w:ascii="HelveticaNeueLT Std" w:hAnsi="HelveticaNeueLT Std"/>
          <w:i/>
          <w:i/>
          <w:sz w:val="24"/>
          <w:szCs w:val="24"/>
        </w:rPr>
      </w:pPr>
      <w:r>
        <w:rPr>
          <w:rFonts w:ascii="HelveticaNeueLT Std" w:hAnsi="HelveticaNeueLT Std"/>
          <w:i/>
          <w:sz w:val="24"/>
          <w:szCs w:val="24"/>
        </w:rPr>
        <w:t>“</w:t>
      </w:r>
      <w:r>
        <w:rPr>
          <w:rFonts w:ascii="HelveticaNeueLT Std" w:hAnsi="HelveticaNeueLT Std"/>
          <w:i/>
          <w:sz w:val="24"/>
          <w:szCs w:val="24"/>
        </w:rPr>
        <w:t>Spreco e sostenibilità ambientale”</w:t>
      </w:r>
    </w:p>
    <w:p>
      <w:pPr>
        <w:pStyle w:val="Normal"/>
        <w:jc w:val="both"/>
        <w:rPr>
          <w:rFonts w:ascii="HelveticaNeueLT Std" w:hAnsi="HelveticaNeueLT Std"/>
          <w:sz w:val="24"/>
          <w:szCs w:val="24"/>
        </w:rPr>
      </w:pPr>
      <w:r>
        <w:rPr>
          <w:rFonts w:ascii="HelveticaNeueLT Std" w:hAnsi="HelveticaNeueLT Std"/>
          <w:b/>
          <w:sz w:val="24"/>
          <w:szCs w:val="24"/>
        </w:rPr>
        <w:t>Andrea Segrè</w:t>
      </w:r>
      <w:r>
        <w:rPr>
          <w:rFonts w:ascii="HelveticaNeueLT Std" w:hAnsi="HelveticaNeueLT Std"/>
          <w:sz w:val="24"/>
          <w:szCs w:val="24"/>
        </w:rPr>
        <w:t> è professore ordinario di Politica agraria internazionale e comparata all’Università di Bologna, dove è attualmente direttore del Dipartimento di Scienze e Tecnologie agroalimentari.</w:t>
      </w:r>
    </w:p>
    <w:p>
      <w:pPr>
        <w:pStyle w:val="Normal"/>
        <w:jc w:val="both"/>
        <w:rPr>
          <w:rFonts w:ascii="HelveticaNeueLT Std" w:hAnsi="HelveticaNeueLT Std"/>
          <w:sz w:val="24"/>
          <w:szCs w:val="24"/>
        </w:rPr>
      </w:pPr>
      <w:r>
        <w:rPr>
          <w:rFonts w:ascii="HelveticaNeueLT Std" w:hAnsi="HelveticaNeueLT Std"/>
          <w:sz w:val="24"/>
          <w:szCs w:val="24"/>
        </w:rPr>
        <w:t xml:space="preserve">E’ fondatore e presidente di </w:t>
      </w:r>
      <w:r>
        <w:rPr>
          <w:rFonts w:ascii="HelveticaNeueLT Std" w:hAnsi="HelveticaNeueLT Std"/>
          <w:b/>
          <w:sz w:val="24"/>
          <w:szCs w:val="24"/>
        </w:rPr>
        <w:t>Last Minute Market</w:t>
      </w:r>
      <w:r>
        <w:rPr>
          <w:rFonts w:ascii="HelveticaNeueLT Std" w:hAnsi="HelveticaNeueLT Std"/>
          <w:sz w:val="24"/>
          <w:szCs w:val="24"/>
        </w:rPr>
        <w:t xml:space="preserve">, spin off dell’Università di Bologna divenuto eccellenza nazionale ed europea per la prevenzione e il recupero degli sprechi alimentari. Dal 2010 promuove la campagna europea di sensibilizzazione </w:t>
      </w:r>
      <w:r>
        <w:rPr>
          <w:rFonts w:ascii="HelveticaNeueLT Std" w:hAnsi="HelveticaNeueLT Std"/>
          <w:i/>
          <w:sz w:val="24"/>
          <w:szCs w:val="24"/>
        </w:rPr>
        <w:t>Un anno contro lo spreco</w:t>
      </w:r>
      <w:r>
        <w:rPr>
          <w:rFonts w:ascii="HelveticaNeueLT Std" w:hAnsi="HelveticaNeueLT Std"/>
          <w:sz w:val="24"/>
          <w:szCs w:val="24"/>
        </w:rPr>
        <w:t>, per la quale ha ideato la Dichiarazione contro lo spreco alimentare ripresa - nei suoi obiettivi portanti - dal Rapporto di Iniziativa del PE approvato nel 2012 a Strasburgo: primo obiettivo il dimezzamento degli sprechi di cibo negli Stati membri entro il 2025. Nel 2013 ha costituito con SWG Waste Watcher, il primo Osservatorio nazionale sugli sprechi alimentari domestici. Ha promosso la Carta per gli enti territoriali a Spreco Zero, cui aderiscono centinaia di sindaci delle metropoli e delle città italiane, costituitisi in associazione Sprecozero.net.</w:t>
      </w:r>
    </w:p>
    <w:p>
      <w:pPr>
        <w:pStyle w:val="Normal"/>
        <w:jc w:val="both"/>
        <w:rPr>
          <w:rFonts w:ascii="HelveticaNeueLT Std" w:hAnsi="HelveticaNeueLT Std"/>
          <w:sz w:val="24"/>
          <w:szCs w:val="24"/>
        </w:rPr>
      </w:pPr>
      <w:r>
        <w:rPr>
          <w:rFonts w:ascii="HelveticaNeueLT Std" w:hAnsi="HelveticaNeueLT Std"/>
          <w:sz w:val="24"/>
          <w:szCs w:val="24"/>
        </w:rPr>
        <w:t>Dall’ottobre 2013 è coordinatore del Piano Nazionale per la prevenzione degli sprechi alimentari – PINPAS istituito dal Ministro dell’Ambiente. Nel luglio 2014 il Ministro dell’Ambiente l’ha nominato presidente del Comitato tecnico- scientifico del Piano Nazionale per la Prevenzione dei Rifiuti.</w:t>
      </w:r>
    </w:p>
    <w:p>
      <w:pPr>
        <w:pStyle w:val="Normal"/>
        <w:jc w:val="both"/>
        <w:rPr>
          <w:rFonts w:ascii="HelveticaNeueLT Std" w:hAnsi="HelveticaNeueLT Std"/>
          <w:sz w:val="24"/>
          <w:szCs w:val="24"/>
        </w:rPr>
      </w:pPr>
      <w:r>
        <w:rPr>
          <w:rFonts w:ascii="HelveticaNeueLT Std" w:hAnsi="HelveticaNeueLT Std"/>
          <w:sz w:val="24"/>
          <w:szCs w:val="24"/>
        </w:rPr>
        <w:t>Da luglio 2012 è presidente del Centro Agroalimentare di Bologna (CAAB), dove ha ideato e promosso assieme al Comune di Bologna il Parco tematico Agro-alimentare F.I.CO (Fabbrica Italiana Contadina) EatalyWorld-Bologna. È presidente del comitato scientifico del Fondo Parchi Agroalimentari italiani che porterà alla costituzione di F.I.CO- EatalyWorld Bologna.</w:t>
      </w:r>
    </w:p>
    <w:p>
      <w:pPr>
        <w:pStyle w:val="Normal"/>
        <w:jc w:val="both"/>
        <w:rPr>
          <w:rFonts w:ascii="HelveticaNeueLT Std" w:hAnsi="HelveticaNeueLT Std"/>
          <w:b/>
          <w:b/>
          <w:sz w:val="24"/>
          <w:szCs w:val="24"/>
        </w:rPr>
      </w:pPr>
      <w:r>
        <w:rPr>
          <w:rFonts w:ascii="HelveticaNeueLT Std" w:hAnsi="HelveticaNeueLT Std"/>
          <w:b/>
          <w:sz w:val="24"/>
          <w:szCs w:val="24"/>
        </w:rPr>
      </w:r>
    </w:p>
    <w:p>
      <w:pPr>
        <w:pStyle w:val="Normal"/>
        <w:jc w:val="both"/>
        <w:rPr>
          <w:rFonts w:ascii="HelveticaNeueLT Std" w:hAnsi="HelveticaNeueLT Std"/>
          <w:b/>
          <w:b/>
          <w:sz w:val="24"/>
          <w:szCs w:val="24"/>
        </w:rPr>
      </w:pPr>
      <w:r>
        <w:rPr>
          <w:rFonts w:ascii="HelveticaNeueLT Std" w:hAnsi="HelveticaNeueLT Std"/>
          <w:b/>
          <w:sz w:val="24"/>
          <w:szCs w:val="24"/>
        </w:rPr>
        <w:t>***</w:t>
      </w:r>
    </w:p>
    <w:p>
      <w:pPr>
        <w:pStyle w:val="Normal"/>
        <w:jc w:val="both"/>
        <w:rPr>
          <w:rFonts w:ascii="HelveticaNeueLT Std" w:hAnsi="HelveticaNeueLT Std"/>
          <w:b/>
          <w:b/>
          <w:color w:val="92D050"/>
          <w:sz w:val="24"/>
          <w:szCs w:val="24"/>
        </w:rPr>
      </w:pPr>
      <w:r>
        <w:rPr>
          <w:rFonts w:ascii="HelveticaNeueLT Std" w:hAnsi="HelveticaNeueLT Std"/>
          <w:b/>
          <w:color w:val="92D050"/>
          <w:sz w:val="24"/>
          <w:szCs w:val="24"/>
        </w:rPr>
        <w:t>PAOLO LABATI (Moderatore)</w:t>
      </w:r>
    </w:p>
    <w:p>
      <w:pPr>
        <w:pStyle w:val="Normal"/>
        <w:jc w:val="both"/>
        <w:rPr>
          <w:rFonts w:ascii="HelveticaNeueLT Std" w:hAnsi="HelveticaNeueLT Std"/>
          <w:sz w:val="24"/>
          <w:szCs w:val="24"/>
        </w:rPr>
      </w:pPr>
      <w:r>
        <w:rPr>
          <w:rFonts w:ascii="HelveticaNeueLT Std" w:hAnsi="HelveticaNeueLT Std"/>
          <w:sz w:val="24"/>
          <w:szCs w:val="24"/>
        </w:rPr>
        <w:t>Inviato speciale della trasmissione Caterpillar, di rai Radio 2. Nato a Piacenza e provincia  in una nebbiosa domenica di novembre, e per questo pigro e naturalmente avverso alla fatica. Nel cassetto, ai sogni preferirebbe maglioni di cachemere.</w:t>
      </w:r>
    </w:p>
    <w:p>
      <w:pPr>
        <w:pStyle w:val="Normal"/>
        <w:spacing w:before="0" w:after="160"/>
        <w:jc w:val="both"/>
        <w:rPr/>
      </w:pPr>
      <w:r>
        <w:rPr>
          <w:rFonts w:ascii="HelveticaNeueLT Std" w:hAnsi="HelveticaNeueLT Std"/>
          <w:i/>
          <w:sz w:val="24"/>
          <w:szCs w:val="24"/>
        </w:rPr>
        <w:t>"Uso il palco per fare terapia perché costa meno di uno psicologo e in più mi pagano"</w:t>
      </w:r>
      <w:r>
        <w:rPr>
          <w:rFonts w:ascii="HelveticaNeueLT Std" w:hAnsi="HelveticaNeueLT Std"/>
          <w:sz w:val="24"/>
          <w:szCs w:val="24"/>
        </w:rPr>
        <w:t>: la capacità di stare in equilibrio tra autoironia e sarcasmo è uno dei marchi di fabbrica di Paolo Labati, comico piacentino che nasce in radio e poi approda al cabaret. </w:t>
        <w:br/>
        <w:br/>
        <w:t>I primi passi li muove all'interno del trio comico GPL, con Giorgio Verduci e Gigi Saronni. Poi si lancia nell'avventura solista e comincia a frequentare i laboratori milanesi di cabaret, tra i quali quello imprescindibile dello Zelig. Dopo un paio d'anni trascorsi a "Zelig Off" Paolo Labati approda nel 2010 alla trasmissione TV ammiraglia, "Zelig"</w:t>
      </w:r>
    </w:p>
    <w:sectPr>
      <w:type w:val="nextPage"/>
      <w:pgSz w:w="11906" w:h="16838"/>
      <w:pgMar w:left="1134" w:right="1134" w:header="0" w:top="1417" w:footer="0" w:bottom="1134"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HelveticaNeueLT Std">
    <w:charset w:val="00"/>
    <w:family w:val="roman"/>
    <w:pitch w:val="variable"/>
  </w:font>
</w:fonts>
</file>

<file path=word/settings.xml><?xml version="1.0" encoding="utf-8"?>
<w:settings xmlns:w="http://schemas.openxmlformats.org/wordprocessingml/2006/main">
  <w:zoom w:percent="100"/>
  <w:defaultTabStop w:val="708"/>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semiHidden="0" w:unhideWhenUsed="0" w:qFormat="1"/>
    <w:lsdException w:name="Emphasis"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d0aff"/>
    <w:pPr>
      <w:widowControl/>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it-IT" w:eastAsia="en-US" w:bidi="ar-SA"/>
    </w:rPr>
  </w:style>
  <w:style w:type="character" w:styleId="DefaultParagraphFont" w:default="1">
    <w:name w:val="Default Paragraph Font"/>
    <w:uiPriority w:val="1"/>
    <w:semiHidden/>
    <w:unhideWhenUsed/>
    <w:qFormat/>
    <w:rPr/>
  </w:style>
  <w:style w:type="character" w:styleId="Msrteelementtextdefault" w:customStyle="1">
    <w:name w:val="ms-rteelement-textdefault"/>
    <w:basedOn w:val="DefaultParagraphFont"/>
    <w:qFormat/>
    <w:rsid w:val="00d34d27"/>
    <w:rPr/>
  </w:style>
  <w:style w:type="character" w:styleId="IntestazioneCarattere" w:customStyle="1">
    <w:name w:val="Intestazione Carattere"/>
    <w:basedOn w:val="DefaultParagraphFont"/>
    <w:link w:val="Intestazione"/>
    <w:uiPriority w:val="99"/>
    <w:qFormat/>
    <w:rsid w:val="00d34d27"/>
    <w:rPr/>
  </w:style>
  <w:style w:type="character" w:styleId="PidipaginaCarattere" w:customStyle="1">
    <w:name w:val="Piè di pagina Carattere"/>
    <w:basedOn w:val="DefaultParagraphFont"/>
    <w:link w:val="Pidipagina"/>
    <w:uiPriority w:val="99"/>
    <w:qFormat/>
    <w:rsid w:val="00d34d27"/>
    <w:rPr/>
  </w:style>
  <w:style w:type="character" w:styleId="CollegamentoInternet">
    <w:name w:val="Collegamento Internet"/>
    <w:basedOn w:val="DefaultParagraphFont"/>
    <w:uiPriority w:val="99"/>
    <w:rsid w:val="00267c3a"/>
    <w:rPr>
      <w:rFonts w:cs="Times New Roman"/>
      <w:color w:val="0563C1"/>
      <w:u w:val="single"/>
    </w:rPr>
  </w:style>
  <w:style w:type="character" w:styleId="Strong">
    <w:name w:val="Strong"/>
    <w:basedOn w:val="DefaultParagraphFont"/>
    <w:uiPriority w:val="99"/>
    <w:qFormat/>
    <w:rsid w:val="00267c3a"/>
    <w:rPr>
      <w:rFonts w:cs="Times New Roman"/>
      <w:b/>
      <w:bCs/>
    </w:rPr>
  </w:style>
  <w:style w:type="character" w:styleId="Enfasi">
    <w:name w:val="Enfasi"/>
    <w:basedOn w:val="DefaultParagraphFont"/>
    <w:uiPriority w:val="99"/>
    <w:qFormat/>
    <w:rsid w:val="00267c3a"/>
    <w:rPr>
      <w:rFonts w:cs="Times New Roman"/>
      <w:i/>
      <w:iCs/>
    </w:rPr>
  </w:style>
  <w:style w:type="character" w:styleId="Appleconvertedspace" w:customStyle="1">
    <w:name w:val="apple-converted-space"/>
    <w:basedOn w:val="DefaultParagraphFont"/>
    <w:qFormat/>
    <w:rsid w:val="00325a8e"/>
    <w:rPr/>
  </w:style>
  <w:style w:type="character" w:styleId="ListLabel1">
    <w:name w:val="ListLabel 1"/>
    <w:qFormat/>
    <w:rPr>
      <w:sz w:val="20"/>
    </w:rPr>
  </w:style>
  <w:style w:type="character" w:styleId="ListLabel2">
    <w:name w:val="ListLabel 2"/>
    <w:qFormat/>
    <w:rPr>
      <w:sz w:val="20"/>
    </w:rPr>
  </w:style>
  <w:style w:type="character" w:styleId="ListLabel3">
    <w:name w:val="ListLabel 3"/>
    <w:qFormat/>
    <w:rPr>
      <w:sz w:val="20"/>
    </w:rPr>
  </w:style>
  <w:style w:type="character" w:styleId="ListLabel4">
    <w:name w:val="ListLabel 4"/>
    <w:qFormat/>
    <w:rPr>
      <w:sz w:val="20"/>
    </w:rPr>
  </w:style>
  <w:style w:type="character" w:styleId="ListLabel5">
    <w:name w:val="ListLabel 5"/>
    <w:qFormat/>
    <w:rPr>
      <w:sz w:val="20"/>
    </w:rPr>
  </w:style>
  <w:style w:type="character" w:styleId="ListLabel6">
    <w:name w:val="ListLabel 6"/>
    <w:qFormat/>
    <w:rPr>
      <w:sz w:val="20"/>
    </w:rPr>
  </w:style>
  <w:style w:type="character" w:styleId="ListLabel7">
    <w:name w:val="ListLabel 7"/>
    <w:qFormat/>
    <w:rPr>
      <w:sz w:val="20"/>
    </w:rPr>
  </w:style>
  <w:style w:type="character" w:styleId="ListLabel8">
    <w:name w:val="ListLabel 8"/>
    <w:qFormat/>
    <w:rPr>
      <w:sz w:val="20"/>
    </w:rPr>
  </w:style>
  <w:style w:type="character" w:styleId="ListLabel9">
    <w:name w:val="ListLabel 9"/>
    <w:qFormat/>
    <w:rPr>
      <w:sz w:val="20"/>
    </w:rPr>
  </w:style>
  <w:style w:type="character" w:styleId="ListLabel10">
    <w:name w:val="ListLabel 10"/>
    <w:qFormat/>
    <w:rPr>
      <w:sz w:val="20"/>
    </w:rPr>
  </w:style>
  <w:style w:type="character" w:styleId="ListLabel11">
    <w:name w:val="ListLabel 11"/>
    <w:qFormat/>
    <w:rPr>
      <w:sz w:val="20"/>
    </w:rPr>
  </w:style>
  <w:style w:type="character" w:styleId="ListLabel12">
    <w:name w:val="ListLabel 12"/>
    <w:qFormat/>
    <w:rPr>
      <w:sz w:val="20"/>
    </w:rPr>
  </w:style>
  <w:style w:type="character" w:styleId="ListLabel13">
    <w:name w:val="ListLabel 13"/>
    <w:qFormat/>
    <w:rPr>
      <w:sz w:val="20"/>
    </w:rPr>
  </w:style>
  <w:style w:type="character" w:styleId="ListLabel14">
    <w:name w:val="ListLabel 14"/>
    <w:qFormat/>
    <w:rPr>
      <w:sz w:val="20"/>
    </w:rPr>
  </w:style>
  <w:style w:type="character" w:styleId="ListLabel15">
    <w:name w:val="ListLabel 15"/>
    <w:qFormat/>
    <w:rPr>
      <w:sz w:val="20"/>
    </w:rPr>
  </w:style>
  <w:style w:type="character" w:styleId="ListLabel16">
    <w:name w:val="ListLabel 16"/>
    <w:qFormat/>
    <w:rPr>
      <w:sz w:val="20"/>
    </w:rPr>
  </w:style>
  <w:style w:type="character" w:styleId="ListLabel17">
    <w:name w:val="ListLabel 17"/>
    <w:qFormat/>
    <w:rPr>
      <w:sz w:val="20"/>
    </w:rPr>
  </w:style>
  <w:style w:type="character" w:styleId="ListLabel18">
    <w:name w:val="ListLabel 18"/>
    <w:qFormat/>
    <w:rPr>
      <w:sz w:val="20"/>
    </w:rPr>
  </w:style>
  <w:style w:type="character" w:styleId="ListLabel19">
    <w:name w:val="ListLabel 19"/>
    <w:qFormat/>
    <w:rPr>
      <w:sz w:val="20"/>
    </w:rPr>
  </w:style>
  <w:style w:type="character" w:styleId="ListLabel20">
    <w:name w:val="ListLabel 20"/>
    <w:qFormat/>
    <w:rPr>
      <w:sz w:val="20"/>
    </w:rPr>
  </w:style>
  <w:style w:type="character" w:styleId="ListLabel21">
    <w:name w:val="ListLabel 21"/>
    <w:qFormat/>
    <w:rPr>
      <w:sz w:val="20"/>
    </w:rPr>
  </w:style>
  <w:style w:type="character" w:styleId="ListLabel22">
    <w:name w:val="ListLabel 22"/>
    <w:qFormat/>
    <w:rPr>
      <w:sz w:val="20"/>
    </w:rPr>
  </w:style>
  <w:style w:type="character" w:styleId="ListLabel23">
    <w:name w:val="ListLabel 23"/>
    <w:qFormat/>
    <w:rPr>
      <w:sz w:val="20"/>
    </w:rPr>
  </w:style>
  <w:style w:type="character" w:styleId="ListLabel24">
    <w:name w:val="ListLabel 24"/>
    <w:qFormat/>
    <w:rPr>
      <w:sz w:val="20"/>
    </w:rPr>
  </w:style>
  <w:style w:type="character" w:styleId="ListLabel25">
    <w:name w:val="ListLabel 25"/>
    <w:qFormat/>
    <w:rPr>
      <w:sz w:val="20"/>
    </w:rPr>
  </w:style>
  <w:style w:type="character" w:styleId="ListLabel26">
    <w:name w:val="ListLabel 26"/>
    <w:qFormat/>
    <w:rPr>
      <w:sz w:val="20"/>
    </w:rPr>
  </w:style>
  <w:style w:type="character" w:styleId="ListLabel27">
    <w:name w:val="ListLabel 27"/>
    <w:qFormat/>
    <w:rPr>
      <w:sz w:val="20"/>
    </w:rPr>
  </w:style>
  <w:style w:type="character" w:styleId="ListLabel28">
    <w:name w:val="ListLabel 28"/>
    <w:qFormat/>
    <w:rPr>
      <w:sz w:val="20"/>
    </w:rPr>
  </w:style>
  <w:style w:type="character" w:styleId="ListLabel29">
    <w:name w:val="ListLabel 29"/>
    <w:qFormat/>
    <w:rPr>
      <w:sz w:val="20"/>
    </w:rPr>
  </w:style>
  <w:style w:type="character" w:styleId="ListLabel30">
    <w:name w:val="ListLabel 30"/>
    <w:qFormat/>
    <w:rPr>
      <w:sz w:val="20"/>
    </w:rPr>
  </w:style>
  <w:style w:type="character" w:styleId="ListLabel31">
    <w:name w:val="ListLabel 31"/>
    <w:qFormat/>
    <w:rPr>
      <w:sz w:val="20"/>
    </w:rPr>
  </w:style>
  <w:style w:type="character" w:styleId="ListLabel32">
    <w:name w:val="ListLabel 32"/>
    <w:qFormat/>
    <w:rPr>
      <w:sz w:val="20"/>
    </w:rPr>
  </w:style>
  <w:style w:type="character" w:styleId="ListLabel33">
    <w:name w:val="ListLabel 33"/>
    <w:qFormat/>
    <w:rPr>
      <w:sz w:val="20"/>
    </w:rPr>
  </w:style>
  <w:style w:type="character" w:styleId="ListLabel34">
    <w:name w:val="ListLabel 34"/>
    <w:qFormat/>
    <w:rPr>
      <w:sz w:val="20"/>
    </w:rPr>
  </w:style>
  <w:style w:type="character" w:styleId="ListLabel35">
    <w:name w:val="ListLabel 35"/>
    <w:qFormat/>
    <w:rPr>
      <w:sz w:val="20"/>
    </w:rPr>
  </w:style>
  <w:style w:type="character" w:styleId="ListLabel36">
    <w:name w:val="ListLabel 36"/>
    <w:qFormat/>
    <w:rPr>
      <w:sz w:val="20"/>
    </w:rPr>
  </w:style>
  <w:style w:type="character" w:styleId="ListLabel37">
    <w:name w:val="ListLabel 37"/>
    <w:qFormat/>
    <w:rPr>
      <w:sz w:val="20"/>
    </w:rPr>
  </w:style>
  <w:style w:type="character" w:styleId="ListLabel38">
    <w:name w:val="ListLabel 38"/>
    <w:qFormat/>
    <w:rPr>
      <w:sz w:val="20"/>
    </w:rPr>
  </w:style>
  <w:style w:type="character" w:styleId="ListLabel39">
    <w:name w:val="ListLabel 39"/>
    <w:qFormat/>
    <w:rPr>
      <w:sz w:val="20"/>
    </w:rPr>
  </w:style>
  <w:style w:type="character" w:styleId="ListLabel40">
    <w:name w:val="ListLabel 40"/>
    <w:qFormat/>
    <w:rPr>
      <w:sz w:val="20"/>
    </w:rPr>
  </w:style>
  <w:style w:type="character" w:styleId="ListLabel41">
    <w:name w:val="ListLabel 41"/>
    <w:qFormat/>
    <w:rPr>
      <w:sz w:val="20"/>
    </w:rPr>
  </w:style>
  <w:style w:type="character" w:styleId="ListLabel42">
    <w:name w:val="ListLabel 42"/>
    <w:qFormat/>
    <w:rPr>
      <w:sz w:val="20"/>
    </w:rPr>
  </w:style>
  <w:style w:type="character" w:styleId="ListLabel43">
    <w:name w:val="ListLabel 43"/>
    <w:qFormat/>
    <w:rPr>
      <w:sz w:val="20"/>
    </w:rPr>
  </w:style>
  <w:style w:type="character" w:styleId="ListLabel44">
    <w:name w:val="ListLabel 44"/>
    <w:qFormat/>
    <w:rPr>
      <w:sz w:val="20"/>
    </w:rPr>
  </w:style>
  <w:style w:type="character" w:styleId="ListLabel45">
    <w:name w:val="ListLabel 45"/>
    <w:qFormat/>
    <w:rPr>
      <w:sz w:val="20"/>
    </w:rPr>
  </w:style>
  <w:style w:type="character" w:styleId="ListLabel46">
    <w:name w:val="ListLabel 46"/>
    <w:qFormat/>
    <w:rPr>
      <w:sz w:val="20"/>
    </w:rPr>
  </w:style>
  <w:style w:type="character" w:styleId="ListLabel47">
    <w:name w:val="ListLabel 47"/>
    <w:qFormat/>
    <w:rPr>
      <w:sz w:val="20"/>
    </w:rPr>
  </w:style>
  <w:style w:type="character" w:styleId="ListLabel48">
    <w:name w:val="ListLabel 48"/>
    <w:qFormat/>
    <w:rPr>
      <w:sz w:val="20"/>
    </w:rPr>
  </w:style>
  <w:style w:type="character" w:styleId="ListLabel49">
    <w:name w:val="ListLabel 49"/>
    <w:qFormat/>
    <w:rPr>
      <w:sz w:val="20"/>
    </w:rPr>
  </w:style>
  <w:style w:type="character" w:styleId="ListLabel50">
    <w:name w:val="ListLabel 50"/>
    <w:qFormat/>
    <w:rPr>
      <w:sz w:val="20"/>
    </w:rPr>
  </w:style>
  <w:style w:type="character" w:styleId="ListLabel51">
    <w:name w:val="ListLabel 51"/>
    <w:qFormat/>
    <w:rPr>
      <w:sz w:val="20"/>
    </w:rPr>
  </w:style>
  <w:style w:type="character" w:styleId="ListLabel52">
    <w:name w:val="ListLabel 52"/>
    <w:qFormat/>
    <w:rPr>
      <w:sz w:val="20"/>
    </w:rPr>
  </w:style>
  <w:style w:type="character" w:styleId="ListLabel53">
    <w:name w:val="ListLabel 53"/>
    <w:qFormat/>
    <w:rPr>
      <w:sz w:val="20"/>
    </w:rPr>
  </w:style>
  <w:style w:type="character" w:styleId="ListLabel54">
    <w:name w:val="ListLabel 54"/>
    <w:qFormat/>
    <w:rPr>
      <w:sz w:val="20"/>
    </w:rPr>
  </w:style>
  <w:style w:type="character" w:styleId="ListLabel55">
    <w:name w:val="ListLabel 55"/>
    <w:qFormat/>
    <w:rPr>
      <w:sz w:val="20"/>
    </w:rPr>
  </w:style>
  <w:style w:type="character" w:styleId="ListLabel56">
    <w:name w:val="ListLabel 56"/>
    <w:qFormat/>
    <w:rPr>
      <w:sz w:val="20"/>
    </w:rPr>
  </w:style>
  <w:style w:type="character" w:styleId="ListLabel57">
    <w:name w:val="ListLabel 57"/>
    <w:qFormat/>
    <w:rPr>
      <w:sz w:val="20"/>
    </w:rPr>
  </w:style>
  <w:style w:type="character" w:styleId="ListLabel58">
    <w:name w:val="ListLabel 58"/>
    <w:qFormat/>
    <w:rPr>
      <w:sz w:val="20"/>
    </w:rPr>
  </w:style>
  <w:style w:type="character" w:styleId="ListLabel59">
    <w:name w:val="ListLabel 59"/>
    <w:qFormat/>
    <w:rPr>
      <w:sz w:val="20"/>
    </w:rPr>
  </w:style>
  <w:style w:type="character" w:styleId="ListLabel60">
    <w:name w:val="ListLabel 60"/>
    <w:qFormat/>
    <w:rPr>
      <w:sz w:val="20"/>
    </w:rPr>
  </w:style>
  <w:style w:type="character" w:styleId="ListLabel61">
    <w:name w:val="ListLabel 61"/>
    <w:qFormat/>
    <w:rPr>
      <w:sz w:val="20"/>
    </w:rPr>
  </w:style>
  <w:style w:type="character" w:styleId="ListLabel62">
    <w:name w:val="ListLabel 62"/>
    <w:qFormat/>
    <w:rPr>
      <w:sz w:val="20"/>
    </w:rPr>
  </w:style>
  <w:style w:type="character" w:styleId="ListLabel63">
    <w:name w:val="ListLabel 63"/>
    <w:qFormat/>
    <w:rPr>
      <w:sz w:val="20"/>
    </w:rPr>
  </w:style>
  <w:style w:type="character" w:styleId="ListLabel64">
    <w:name w:val="ListLabel 64"/>
    <w:qFormat/>
    <w:rPr>
      <w:sz w:val="20"/>
    </w:rPr>
  </w:style>
  <w:style w:type="character" w:styleId="ListLabel65">
    <w:name w:val="ListLabel 65"/>
    <w:qFormat/>
    <w:rPr>
      <w:sz w:val="20"/>
    </w:rPr>
  </w:style>
  <w:style w:type="character" w:styleId="ListLabel66">
    <w:name w:val="ListLabel 66"/>
    <w:qFormat/>
    <w:rPr>
      <w:sz w:val="20"/>
    </w:rPr>
  </w:style>
  <w:style w:type="character" w:styleId="ListLabel67">
    <w:name w:val="ListLabel 67"/>
    <w:qFormat/>
    <w:rPr>
      <w:sz w:val="20"/>
    </w:rPr>
  </w:style>
  <w:style w:type="character" w:styleId="ListLabel68">
    <w:name w:val="ListLabel 68"/>
    <w:qFormat/>
    <w:rPr>
      <w:sz w:val="20"/>
    </w:rPr>
  </w:style>
  <w:style w:type="character" w:styleId="ListLabel69">
    <w:name w:val="ListLabel 69"/>
    <w:qFormat/>
    <w:rPr>
      <w:sz w:val="20"/>
    </w:rPr>
  </w:style>
  <w:style w:type="character" w:styleId="ListLabel70">
    <w:name w:val="ListLabel 70"/>
    <w:qFormat/>
    <w:rPr>
      <w:sz w:val="20"/>
    </w:rPr>
  </w:style>
  <w:style w:type="character" w:styleId="ListLabel71">
    <w:name w:val="ListLabel 71"/>
    <w:qFormat/>
    <w:rPr>
      <w:sz w:val="20"/>
    </w:rPr>
  </w:style>
  <w:style w:type="character" w:styleId="ListLabel72">
    <w:name w:val="ListLabel 72"/>
    <w:qFormat/>
    <w:rPr>
      <w:sz w:val="20"/>
    </w:rPr>
  </w:style>
  <w:style w:type="character" w:styleId="ListLabel73">
    <w:name w:val="ListLabel 73"/>
    <w:qFormat/>
    <w:rPr>
      <w:rFonts w:cs="Courier New"/>
    </w:rPr>
  </w:style>
  <w:style w:type="character" w:styleId="ListLabel74">
    <w:name w:val="ListLabel 74"/>
    <w:qFormat/>
    <w:rPr>
      <w:rFonts w:cs="Courier New"/>
    </w:rPr>
  </w:style>
  <w:style w:type="character" w:styleId="ListLabel75">
    <w:name w:val="ListLabel 75"/>
    <w:qFormat/>
    <w:rPr>
      <w:rFonts w:cs="Courier New"/>
    </w:rPr>
  </w:style>
  <w:style w:type="character" w:styleId="ListLabel76">
    <w:name w:val="ListLabel 76"/>
    <w:qFormat/>
    <w:rPr>
      <w:rFonts w:cs="Courier New"/>
    </w:rPr>
  </w:style>
  <w:style w:type="character" w:styleId="ListLabel77">
    <w:name w:val="ListLabel 77"/>
    <w:qFormat/>
    <w:rPr>
      <w:rFonts w:cs="Courier New"/>
    </w:rPr>
  </w:style>
  <w:style w:type="character" w:styleId="ListLabel78">
    <w:name w:val="ListLabel 78"/>
    <w:qFormat/>
    <w:rPr>
      <w:rFonts w:cs="Courier New"/>
    </w:rPr>
  </w:style>
  <w:style w:type="character" w:styleId="ListLabel79">
    <w:name w:val="ListLabel 79"/>
    <w:qFormat/>
    <w:rPr>
      <w:rFonts w:cs="Courier New"/>
    </w:rPr>
  </w:style>
  <w:style w:type="character" w:styleId="ListLabel80">
    <w:name w:val="ListLabel 80"/>
    <w:qFormat/>
    <w:rPr>
      <w:rFonts w:cs="Courier New"/>
    </w:rPr>
  </w:style>
  <w:style w:type="character" w:styleId="ListLabel81">
    <w:name w:val="ListLabel 81"/>
    <w:qFormat/>
    <w:rPr>
      <w:rFonts w:cs="Courier New"/>
    </w:rPr>
  </w:style>
  <w:style w:type="paragraph" w:styleId="Titolo">
    <w:name w:val="Titolo"/>
    <w:basedOn w:val="Normal"/>
    <w:next w:val="Corpodeltesto"/>
    <w:qFormat/>
    <w:pPr>
      <w:keepNext/>
      <w:spacing w:before="240" w:after="120"/>
    </w:pPr>
    <w:rPr>
      <w:rFonts w:ascii="Liberation Sans" w:hAnsi="Liberation Sans" w:eastAsia="Microsoft YaHei" w:cs="Mangal"/>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Mangal"/>
    </w:rPr>
  </w:style>
  <w:style w:type="paragraph" w:styleId="Didascalia">
    <w:name w:val="Caption"/>
    <w:basedOn w:val="Normal"/>
    <w:qFormat/>
    <w:pPr>
      <w:suppressLineNumbers/>
      <w:spacing w:before="120" w:after="120"/>
    </w:pPr>
    <w:rPr>
      <w:rFonts w:cs="Mangal"/>
      <w:i/>
      <w:iCs/>
      <w:sz w:val="24"/>
      <w:szCs w:val="24"/>
    </w:rPr>
  </w:style>
  <w:style w:type="paragraph" w:styleId="Indice">
    <w:name w:val="Indice"/>
    <w:basedOn w:val="Normal"/>
    <w:qFormat/>
    <w:pPr>
      <w:suppressLineNumbers/>
    </w:pPr>
    <w:rPr>
      <w:rFonts w:cs="Mangal"/>
    </w:rPr>
  </w:style>
  <w:style w:type="paragraph" w:styleId="Intestazione">
    <w:name w:val="Header"/>
    <w:basedOn w:val="Normal"/>
    <w:link w:val="IntestazioneCarattere"/>
    <w:uiPriority w:val="99"/>
    <w:unhideWhenUsed/>
    <w:rsid w:val="00d34d27"/>
    <w:pPr>
      <w:tabs>
        <w:tab w:val="center" w:pos="4819" w:leader="none"/>
        <w:tab w:val="right" w:pos="9638" w:leader="none"/>
      </w:tabs>
      <w:spacing w:lineRule="auto" w:line="240" w:before="0" w:after="0"/>
    </w:pPr>
    <w:rPr/>
  </w:style>
  <w:style w:type="paragraph" w:styleId="Pidipagina">
    <w:name w:val="Footer"/>
    <w:basedOn w:val="Normal"/>
    <w:link w:val="PidipaginaCarattere"/>
    <w:uiPriority w:val="99"/>
    <w:unhideWhenUsed/>
    <w:rsid w:val="00d34d27"/>
    <w:pPr>
      <w:tabs>
        <w:tab w:val="center" w:pos="4819" w:leader="none"/>
        <w:tab w:val="right" w:pos="9638" w:leader="none"/>
      </w:tabs>
      <w:spacing w:lineRule="auto" w:line="240" w:before="0" w:after="0"/>
    </w:pPr>
    <w:rPr/>
  </w:style>
  <w:style w:type="paragraph" w:styleId="Default" w:customStyle="1">
    <w:name w:val="Default"/>
    <w:uiPriority w:val="99"/>
    <w:qFormat/>
    <w:rsid w:val="00267c3a"/>
    <w:pPr>
      <w:widowControl/>
      <w:bidi w:val="0"/>
      <w:spacing w:lineRule="auto" w:line="240" w:before="0" w:after="0"/>
      <w:jc w:val="left"/>
    </w:pPr>
    <w:rPr>
      <w:rFonts w:ascii="Arial" w:hAnsi="Arial" w:eastAsia="Calibri" w:cs="Arial"/>
      <w:color w:val="000000"/>
      <w:sz w:val="24"/>
      <w:szCs w:val="24"/>
      <w:lang w:val="it-IT" w:eastAsia="en-US" w:bidi="ar-SA"/>
    </w:rPr>
  </w:style>
  <w:style w:type="paragraph" w:styleId="NormalWeb">
    <w:name w:val="Normal (Web)"/>
    <w:basedOn w:val="Normal"/>
    <w:uiPriority w:val="99"/>
    <w:semiHidden/>
    <w:unhideWhenUsed/>
    <w:qFormat/>
    <w:rsid w:val="00c22652"/>
    <w:pPr>
      <w:spacing w:lineRule="auto" w:line="240" w:beforeAutospacing="1" w:afterAutospacing="1"/>
    </w:pPr>
    <w:rPr>
      <w:rFonts w:ascii="Times New Roman" w:hAnsi="Times New Roman" w:eastAsia="Times New Roman" w:cs="Times New Roman"/>
      <w:sz w:val="24"/>
      <w:szCs w:val="24"/>
      <w:lang w:eastAsia="it-IT"/>
    </w:rPr>
  </w:style>
  <w:style w:type="paragraph" w:styleId="ListParagraph">
    <w:name w:val="List Paragraph"/>
    <w:basedOn w:val="Normal"/>
    <w:uiPriority w:val="34"/>
    <w:qFormat/>
    <w:rsid w:val="00c22652"/>
    <w:pPr>
      <w:spacing w:before="0" w:after="160"/>
      <w:ind w:left="720" w:hanging="0"/>
      <w:contextualSpacing/>
    </w:pPr>
    <w:rPr/>
  </w:style>
  <w:style w:type="paragraph" w:styleId="Nascosto" w:customStyle="1">
    <w:name w:val="nascosto"/>
    <w:basedOn w:val="Normal"/>
    <w:qFormat/>
    <w:rsid w:val="00325a8e"/>
    <w:pPr>
      <w:spacing w:lineRule="auto" w:line="240" w:beforeAutospacing="1" w:afterAutospacing="1"/>
    </w:pPr>
    <w:rPr>
      <w:rFonts w:ascii="Times New Roman" w:hAnsi="Times New Roman" w:eastAsia="Times New Roman" w:cs="Times New Roman"/>
      <w:sz w:val="24"/>
      <w:szCs w:val="24"/>
      <w:lang w:eastAsia="it-IT"/>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it.wikipedia.org/wiki/Europa_settentrionale" TargetMode="External"/><Relationship Id="rId3" Type="http://schemas.openxmlformats.org/officeDocument/2006/relationships/hyperlink" Target="https://it.wikipedia.org/wiki/Stati_Uniti_d&apos;America"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Application>LibreOffice/5.1.5.2$Windows_x86 LibreOffice_project/7a864d8825610a8c07cfc3bc01dd4fce6a9447e5</Application>
  <Pages>5</Pages>
  <Words>2147</Words>
  <CharactersWithSpaces>12239</CharactersWithSpaces>
  <Paragraphs>28</Paragraphs>
  <Company>Museo Tridentino Scienze Naturali di Trento</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2016-11-25T09:09:00Z</dcterms:created>
  <dc:creator>Elisa Maria Casati</dc:creator>
  <dc:description/>
  <dc:language>it-IT</dc:language>
  <cp:lastModifiedBy>chiara.veronesi</cp:lastModifiedBy>
  <cp:lastPrinted>2016-11-25T09:47:00Z</cp:lastPrinted>
  <dcterms:modified xsi:type="dcterms:W3CDTF">2016-11-25T11:57:00Z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Museo Tridentino Scienze Naturali di Trento</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